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B36D6" w14:textId="77777777" w:rsidR="00E4164F" w:rsidRPr="0013629F" w:rsidRDefault="00E4164F" w:rsidP="00E4164F">
      <w:pPr>
        <w:pStyle w:val="Default"/>
        <w:rPr>
          <w:color w:val="000000" w:themeColor="text1"/>
          <w:vertAlign w:val="subscript"/>
        </w:rPr>
      </w:pPr>
    </w:p>
    <w:p w14:paraId="4CB39652" w14:textId="77777777" w:rsidR="00E4164F" w:rsidRPr="0013629F" w:rsidRDefault="00E4164F" w:rsidP="00E4164F">
      <w:pPr>
        <w:pStyle w:val="Default"/>
        <w:jc w:val="center"/>
        <w:rPr>
          <w:color w:val="000000" w:themeColor="text1"/>
          <w:sz w:val="22"/>
          <w:szCs w:val="22"/>
        </w:rPr>
      </w:pPr>
      <w:r w:rsidRPr="0013629F">
        <w:rPr>
          <w:b/>
          <w:bCs/>
          <w:color w:val="000000" w:themeColor="text1"/>
          <w:sz w:val="22"/>
          <w:szCs w:val="22"/>
        </w:rPr>
        <w:t>UNIVERSIDAD TECNOLÓGICA DE PEREIRA</w:t>
      </w:r>
    </w:p>
    <w:p w14:paraId="209A94E4" w14:textId="77777777" w:rsidR="00E4164F" w:rsidRPr="0013629F" w:rsidRDefault="00E4164F" w:rsidP="00E4164F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13629F">
        <w:rPr>
          <w:b/>
          <w:bCs/>
          <w:color w:val="000000" w:themeColor="text1"/>
          <w:sz w:val="22"/>
          <w:szCs w:val="22"/>
        </w:rPr>
        <w:t>VICERRECTORÍA DE INVESTIGACIONES, INNOVACIÓN Y EXTENSIÓN</w:t>
      </w:r>
    </w:p>
    <w:p w14:paraId="654EC525" w14:textId="0B086AF7" w:rsidR="00E4164F" w:rsidRPr="0013629F" w:rsidRDefault="00E4164F" w:rsidP="00E4164F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13629F">
        <w:rPr>
          <w:b/>
          <w:bCs/>
          <w:color w:val="000000" w:themeColor="text1"/>
          <w:sz w:val="22"/>
          <w:szCs w:val="22"/>
        </w:rPr>
        <w:t>CONVOCATORIA INTERNA PARA FOME</w:t>
      </w:r>
      <w:r w:rsidR="002A476C" w:rsidRPr="0013629F">
        <w:rPr>
          <w:b/>
          <w:bCs/>
          <w:color w:val="000000" w:themeColor="text1"/>
          <w:sz w:val="22"/>
          <w:szCs w:val="22"/>
        </w:rPr>
        <w:t xml:space="preserve">NTAR LA PUBLICACIÓN DE LIBROS </w:t>
      </w:r>
      <w:r w:rsidR="001E5142" w:rsidRPr="0013629F">
        <w:rPr>
          <w:b/>
          <w:bCs/>
          <w:color w:val="000000" w:themeColor="text1"/>
          <w:sz w:val="22"/>
          <w:szCs w:val="22"/>
        </w:rPr>
        <w:t>RESULTADO DE INVESTIGACIÓN</w:t>
      </w:r>
      <w:r w:rsidR="004765F5">
        <w:rPr>
          <w:b/>
          <w:bCs/>
          <w:color w:val="000000" w:themeColor="text1"/>
          <w:sz w:val="22"/>
          <w:szCs w:val="22"/>
        </w:rPr>
        <w:t xml:space="preserve"> </w:t>
      </w:r>
      <w:r w:rsidR="00927959">
        <w:rPr>
          <w:b/>
          <w:bCs/>
          <w:color w:val="000000" w:themeColor="text1"/>
          <w:sz w:val="22"/>
          <w:szCs w:val="22"/>
        </w:rPr>
        <w:t>AÑO 202</w:t>
      </w:r>
      <w:r w:rsidR="00067E2E">
        <w:rPr>
          <w:b/>
          <w:bCs/>
          <w:color w:val="000000" w:themeColor="text1"/>
          <w:sz w:val="22"/>
          <w:szCs w:val="22"/>
        </w:rPr>
        <w:t>1</w:t>
      </w:r>
    </w:p>
    <w:p w14:paraId="19EDFFE0" w14:textId="77777777" w:rsidR="00E4164F" w:rsidRPr="0013629F" w:rsidRDefault="00E4164F" w:rsidP="00E4164F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</w:p>
    <w:p w14:paraId="5A7DE946" w14:textId="77777777" w:rsidR="00E4164F" w:rsidRPr="0013629F" w:rsidRDefault="004842D5" w:rsidP="00E4164F">
      <w:pPr>
        <w:pStyle w:val="Default"/>
        <w:jc w:val="both"/>
        <w:rPr>
          <w:color w:val="000000" w:themeColor="text1"/>
          <w:sz w:val="22"/>
          <w:szCs w:val="22"/>
        </w:rPr>
      </w:pPr>
      <w:r w:rsidRPr="0013629F">
        <w:rPr>
          <w:color w:val="000000" w:themeColor="text1"/>
          <w:sz w:val="22"/>
          <w:szCs w:val="22"/>
        </w:rPr>
        <w:t xml:space="preserve">La Vicerrectoría de Investigaciones, Innovación y Extensión </w:t>
      </w:r>
      <w:r w:rsidR="00E4164F" w:rsidRPr="0013629F">
        <w:rPr>
          <w:color w:val="000000" w:themeColor="text1"/>
          <w:sz w:val="22"/>
          <w:szCs w:val="22"/>
        </w:rPr>
        <w:t xml:space="preserve">de la Universidad Tecnológica de Pereira </w:t>
      </w:r>
      <w:r w:rsidR="00CC0BFD">
        <w:rPr>
          <w:color w:val="000000" w:themeColor="text1"/>
          <w:sz w:val="22"/>
          <w:szCs w:val="22"/>
        </w:rPr>
        <w:t>invita</w:t>
      </w:r>
      <w:r w:rsidR="00E4164F" w:rsidRPr="0013629F">
        <w:rPr>
          <w:color w:val="000000" w:themeColor="text1"/>
          <w:sz w:val="22"/>
          <w:szCs w:val="22"/>
        </w:rPr>
        <w:t xml:space="preserve"> a participar en la presente convocatoria </w:t>
      </w:r>
      <w:r w:rsidR="008F7D8F" w:rsidRPr="0013629F">
        <w:rPr>
          <w:color w:val="000000" w:themeColor="text1"/>
          <w:sz w:val="22"/>
          <w:szCs w:val="22"/>
        </w:rPr>
        <w:t xml:space="preserve">para financiar la publicación de libros resultados </w:t>
      </w:r>
      <w:r w:rsidR="00E35D6D">
        <w:rPr>
          <w:color w:val="000000" w:themeColor="text1"/>
          <w:sz w:val="22"/>
          <w:szCs w:val="22"/>
        </w:rPr>
        <w:t>de investigación</w:t>
      </w:r>
      <w:r w:rsidR="008F7D8F" w:rsidRPr="0013629F">
        <w:rPr>
          <w:color w:val="000000" w:themeColor="text1"/>
          <w:sz w:val="22"/>
          <w:szCs w:val="22"/>
        </w:rPr>
        <w:t xml:space="preserve"> </w:t>
      </w:r>
      <w:r w:rsidR="00E4164F" w:rsidRPr="0013629F">
        <w:rPr>
          <w:color w:val="000000" w:themeColor="text1"/>
          <w:sz w:val="22"/>
          <w:szCs w:val="22"/>
        </w:rPr>
        <w:t xml:space="preserve">cumpliendo los siguientes términos: </w:t>
      </w:r>
    </w:p>
    <w:p w14:paraId="2B6B0569" w14:textId="77777777" w:rsidR="004842D5" w:rsidRPr="0013629F" w:rsidRDefault="004842D5" w:rsidP="00E4164F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3BB64F6" w14:textId="77777777" w:rsidR="00E4164F" w:rsidRPr="0013629F" w:rsidRDefault="00E4164F" w:rsidP="00E4164F">
      <w:pPr>
        <w:pStyle w:val="Default"/>
        <w:jc w:val="both"/>
        <w:rPr>
          <w:color w:val="000000" w:themeColor="text1"/>
          <w:sz w:val="22"/>
          <w:szCs w:val="22"/>
        </w:rPr>
      </w:pPr>
      <w:r w:rsidRPr="0013629F">
        <w:rPr>
          <w:b/>
          <w:bCs/>
          <w:color w:val="000000" w:themeColor="text1"/>
          <w:sz w:val="22"/>
          <w:szCs w:val="22"/>
        </w:rPr>
        <w:t xml:space="preserve">OBJETIVO: </w:t>
      </w:r>
    </w:p>
    <w:p w14:paraId="071D06B7" w14:textId="5CFC31A3" w:rsidR="008F7D8F" w:rsidRPr="0013629F" w:rsidRDefault="008F7D8F" w:rsidP="00F5317D">
      <w:pPr>
        <w:pStyle w:val="Textocomentari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629F">
        <w:rPr>
          <w:rFonts w:ascii="Arial" w:hAnsi="Arial" w:cs="Arial"/>
          <w:color w:val="000000" w:themeColor="text1"/>
          <w:sz w:val="22"/>
          <w:szCs w:val="22"/>
        </w:rPr>
        <w:t>Fomentar la producción intelectual de los grupos de investigación de la Universidad Tecnológica de Pereira, a través de la public</w:t>
      </w:r>
      <w:r w:rsidR="00E35D6D">
        <w:rPr>
          <w:rFonts w:ascii="Arial" w:hAnsi="Arial" w:cs="Arial"/>
          <w:color w:val="000000" w:themeColor="text1"/>
          <w:sz w:val="22"/>
          <w:szCs w:val="22"/>
        </w:rPr>
        <w:t xml:space="preserve">ación de </w:t>
      </w:r>
      <w:r w:rsidR="0008271F">
        <w:rPr>
          <w:rFonts w:ascii="Arial" w:hAnsi="Arial" w:cs="Arial"/>
          <w:color w:val="000000" w:themeColor="text1"/>
          <w:sz w:val="22"/>
          <w:szCs w:val="22"/>
        </w:rPr>
        <w:t>libros</w:t>
      </w:r>
      <w:r w:rsidR="00E35D6D">
        <w:rPr>
          <w:rFonts w:ascii="Arial" w:hAnsi="Arial" w:cs="Arial"/>
          <w:color w:val="000000" w:themeColor="text1"/>
          <w:sz w:val="22"/>
          <w:szCs w:val="22"/>
        </w:rPr>
        <w:t xml:space="preserve"> resultado </w:t>
      </w:r>
      <w:r w:rsidRPr="0013629F">
        <w:rPr>
          <w:rFonts w:ascii="Arial" w:hAnsi="Arial" w:cs="Arial"/>
          <w:color w:val="000000" w:themeColor="text1"/>
          <w:sz w:val="22"/>
          <w:szCs w:val="22"/>
        </w:rPr>
        <w:t>de investigación.</w:t>
      </w:r>
    </w:p>
    <w:p w14:paraId="7F9749AF" w14:textId="77777777" w:rsidR="00CE074E" w:rsidRPr="0013629F" w:rsidRDefault="00CE074E" w:rsidP="00E4164F">
      <w:pPr>
        <w:pStyle w:val="Default"/>
        <w:jc w:val="both"/>
        <w:rPr>
          <w:color w:val="000000" w:themeColor="text1"/>
          <w:sz w:val="22"/>
          <w:szCs w:val="22"/>
        </w:rPr>
      </w:pPr>
    </w:p>
    <w:p w14:paraId="1D4C0F8C" w14:textId="1BF25654" w:rsidR="00CE074E" w:rsidRPr="003B6B56" w:rsidRDefault="00CE074E" w:rsidP="00CE074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es-CO"/>
        </w:rPr>
      </w:pPr>
      <w:r w:rsidRPr="0013629F">
        <w:rPr>
          <w:rFonts w:ascii="Arial" w:eastAsia="Times New Roman" w:hAnsi="Arial" w:cs="Arial"/>
          <w:b/>
          <w:color w:val="000000" w:themeColor="text1"/>
          <w:lang w:eastAsia="es-CO"/>
        </w:rPr>
        <w:t>DIRIGIDO A:</w:t>
      </w:r>
    </w:p>
    <w:p w14:paraId="09FD2DB4" w14:textId="72E6D124" w:rsidR="005C4DA2" w:rsidRPr="003B6B56" w:rsidRDefault="0022355C" w:rsidP="003B6B56">
      <w:pPr>
        <w:pStyle w:val="Default"/>
        <w:spacing w:after="14"/>
        <w:jc w:val="both"/>
        <w:rPr>
          <w:color w:val="auto"/>
          <w:sz w:val="22"/>
          <w:szCs w:val="22"/>
        </w:rPr>
      </w:pPr>
      <w:r w:rsidRPr="003B6B56">
        <w:rPr>
          <w:sz w:val="22"/>
          <w:szCs w:val="22"/>
        </w:rPr>
        <w:t xml:space="preserve">Grupos de Investigación </w:t>
      </w:r>
      <w:r w:rsidR="005976C6" w:rsidRPr="003B6B56">
        <w:rPr>
          <w:sz w:val="22"/>
          <w:szCs w:val="22"/>
        </w:rPr>
        <w:t>inscritos en</w:t>
      </w:r>
      <w:r w:rsidRPr="003B6B56">
        <w:rPr>
          <w:sz w:val="22"/>
          <w:szCs w:val="22"/>
        </w:rPr>
        <w:t xml:space="preserve"> la Vicerrectoría de Investigaciones, Innovación y Extensión de la Universidad Tecnológica de Pereira.</w:t>
      </w:r>
      <w:r w:rsidR="005C4DA2" w:rsidRPr="003B6B56">
        <w:rPr>
          <w:sz w:val="22"/>
          <w:szCs w:val="22"/>
        </w:rPr>
        <w:t xml:space="preserve"> </w:t>
      </w:r>
    </w:p>
    <w:p w14:paraId="50CEFC93" w14:textId="77777777" w:rsidR="0022355C" w:rsidRPr="00D056C4" w:rsidRDefault="0022355C" w:rsidP="0022355C">
      <w:pPr>
        <w:jc w:val="both"/>
        <w:rPr>
          <w:rFonts w:ascii="Arial" w:hAnsi="Arial" w:cs="Arial"/>
        </w:rPr>
      </w:pPr>
    </w:p>
    <w:p w14:paraId="2FBC775C" w14:textId="77777777" w:rsidR="004842D5" w:rsidRPr="00D056C4" w:rsidRDefault="004842D5" w:rsidP="00E4164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C3BC3BC" w14:textId="77777777" w:rsidR="00E4164F" w:rsidRPr="00D056C4" w:rsidRDefault="00E4164F" w:rsidP="00386198">
      <w:pPr>
        <w:pStyle w:val="Default"/>
        <w:jc w:val="both"/>
        <w:rPr>
          <w:color w:val="auto"/>
          <w:sz w:val="22"/>
          <w:szCs w:val="22"/>
        </w:rPr>
      </w:pPr>
      <w:r w:rsidRPr="00D056C4">
        <w:rPr>
          <w:b/>
          <w:bCs/>
          <w:color w:val="auto"/>
          <w:sz w:val="22"/>
          <w:szCs w:val="22"/>
        </w:rPr>
        <w:t xml:space="preserve">1. REQUISITOS MÍNIMOS PARA PARTICIPAR </w:t>
      </w:r>
    </w:p>
    <w:p w14:paraId="4BD0EFCB" w14:textId="77777777" w:rsidR="00E4164F" w:rsidRPr="00D056C4" w:rsidRDefault="00E4164F" w:rsidP="00386198">
      <w:pPr>
        <w:pStyle w:val="Default"/>
        <w:jc w:val="both"/>
        <w:rPr>
          <w:color w:val="auto"/>
          <w:sz w:val="22"/>
          <w:szCs w:val="22"/>
        </w:rPr>
      </w:pPr>
    </w:p>
    <w:p w14:paraId="298C1930" w14:textId="1E2D8A4E" w:rsidR="007E051D" w:rsidRDefault="00FC5CF6" w:rsidP="00F62490">
      <w:pPr>
        <w:pStyle w:val="Default"/>
        <w:numPr>
          <w:ilvl w:val="1"/>
          <w:numId w:val="1"/>
        </w:numPr>
        <w:spacing w:after="14"/>
        <w:jc w:val="both"/>
        <w:rPr>
          <w:color w:val="auto"/>
          <w:sz w:val="22"/>
          <w:szCs w:val="22"/>
        </w:rPr>
      </w:pPr>
      <w:r w:rsidRPr="007E051D">
        <w:rPr>
          <w:color w:val="auto"/>
          <w:sz w:val="22"/>
          <w:szCs w:val="22"/>
        </w:rPr>
        <w:t>Podrán partici</w:t>
      </w:r>
      <w:r w:rsidR="00A411B2" w:rsidRPr="007E051D">
        <w:rPr>
          <w:color w:val="auto"/>
          <w:sz w:val="22"/>
          <w:szCs w:val="22"/>
        </w:rPr>
        <w:t xml:space="preserve">par </w:t>
      </w:r>
      <w:r w:rsidR="00E9756E" w:rsidRPr="007E051D">
        <w:rPr>
          <w:color w:val="auto"/>
          <w:sz w:val="22"/>
          <w:szCs w:val="22"/>
        </w:rPr>
        <w:t>los g</w:t>
      </w:r>
      <w:r w:rsidR="00E9756E" w:rsidRPr="007E051D">
        <w:rPr>
          <w:rFonts w:eastAsia="Times New Roman"/>
          <w:color w:val="auto"/>
          <w:sz w:val="22"/>
          <w:szCs w:val="22"/>
          <w:lang w:eastAsia="es-CO"/>
        </w:rPr>
        <w:t>rupos de Investigación</w:t>
      </w:r>
      <w:r w:rsidR="004F256D" w:rsidRPr="007E051D">
        <w:rPr>
          <w:rFonts w:eastAsia="Times New Roman"/>
          <w:color w:val="auto"/>
          <w:sz w:val="22"/>
          <w:szCs w:val="22"/>
          <w:lang w:eastAsia="es-CO"/>
        </w:rPr>
        <w:t xml:space="preserve"> </w:t>
      </w:r>
      <w:r w:rsidR="009634BB" w:rsidRPr="007E051D">
        <w:rPr>
          <w:rFonts w:eastAsia="Times New Roman"/>
          <w:color w:val="auto"/>
          <w:sz w:val="22"/>
          <w:szCs w:val="22"/>
          <w:lang w:eastAsia="es-CO"/>
        </w:rPr>
        <w:t>inscritos en</w:t>
      </w:r>
      <w:r w:rsidR="004F256D" w:rsidRPr="007E051D">
        <w:rPr>
          <w:rFonts w:eastAsia="Times New Roman"/>
          <w:color w:val="auto"/>
          <w:sz w:val="22"/>
          <w:szCs w:val="22"/>
          <w:lang w:eastAsia="es-CO"/>
        </w:rPr>
        <w:t xml:space="preserve"> la </w:t>
      </w:r>
      <w:r w:rsidR="004F256D" w:rsidRPr="007E051D">
        <w:rPr>
          <w:color w:val="auto"/>
          <w:sz w:val="22"/>
          <w:szCs w:val="22"/>
        </w:rPr>
        <w:t>Vicerrectoría de Investigaciones, Innovación y Extensión</w:t>
      </w:r>
      <w:r w:rsidR="005C4DA2">
        <w:rPr>
          <w:color w:val="auto"/>
          <w:sz w:val="22"/>
          <w:szCs w:val="22"/>
        </w:rPr>
        <w:t xml:space="preserve"> </w:t>
      </w:r>
      <w:r w:rsidR="00E8067E">
        <w:rPr>
          <w:color w:val="auto"/>
          <w:sz w:val="22"/>
          <w:szCs w:val="22"/>
        </w:rPr>
        <w:t xml:space="preserve">de la Universidad Tecnológica de Pereira. </w:t>
      </w:r>
    </w:p>
    <w:p w14:paraId="7EAF0320" w14:textId="77777777" w:rsidR="00316131" w:rsidRPr="007E051D" w:rsidRDefault="00316131" w:rsidP="00F62490">
      <w:pPr>
        <w:pStyle w:val="Default"/>
        <w:numPr>
          <w:ilvl w:val="1"/>
          <w:numId w:val="1"/>
        </w:numPr>
        <w:spacing w:after="14"/>
        <w:jc w:val="both"/>
        <w:rPr>
          <w:color w:val="auto"/>
          <w:sz w:val="22"/>
          <w:szCs w:val="22"/>
        </w:rPr>
      </w:pPr>
      <w:r w:rsidRPr="007E051D">
        <w:rPr>
          <w:color w:val="auto"/>
          <w:sz w:val="22"/>
          <w:szCs w:val="22"/>
        </w:rPr>
        <w:t>Los autores de los libros result</w:t>
      </w:r>
      <w:r w:rsidR="005C4DA2">
        <w:rPr>
          <w:color w:val="auto"/>
          <w:sz w:val="22"/>
          <w:szCs w:val="22"/>
        </w:rPr>
        <w:t>ado de investigación postulados</w:t>
      </w:r>
      <w:r w:rsidRPr="007E051D">
        <w:rPr>
          <w:color w:val="auto"/>
          <w:sz w:val="22"/>
          <w:szCs w:val="22"/>
        </w:rPr>
        <w:t xml:space="preserve"> deberán pertenecer al grupo de investigación que presenta el trabajo y estar vinculados al proyecto de investigación del cual es resultado el libro.</w:t>
      </w:r>
    </w:p>
    <w:p w14:paraId="1B17E7C6" w14:textId="23B3868B" w:rsidR="00316131" w:rsidRPr="007E051D" w:rsidRDefault="003525A1" w:rsidP="007368CD">
      <w:pPr>
        <w:pStyle w:val="Default"/>
        <w:numPr>
          <w:ilvl w:val="1"/>
          <w:numId w:val="1"/>
        </w:numPr>
        <w:spacing w:after="14"/>
        <w:jc w:val="both"/>
        <w:rPr>
          <w:color w:val="auto"/>
          <w:sz w:val="22"/>
          <w:szCs w:val="22"/>
        </w:rPr>
      </w:pPr>
      <w:r w:rsidRPr="007E051D">
        <w:rPr>
          <w:color w:val="auto"/>
          <w:sz w:val="22"/>
          <w:szCs w:val="22"/>
        </w:rPr>
        <w:t xml:space="preserve">Los autores de los libros resultado de investigación deberán </w:t>
      </w:r>
      <w:r w:rsidR="00316131" w:rsidRPr="007E051D">
        <w:rPr>
          <w:color w:val="auto"/>
          <w:sz w:val="22"/>
          <w:szCs w:val="22"/>
        </w:rPr>
        <w:t>ser docentes de planta</w:t>
      </w:r>
      <w:r w:rsidR="00317372" w:rsidRPr="007E051D">
        <w:rPr>
          <w:color w:val="auto"/>
          <w:sz w:val="22"/>
          <w:szCs w:val="22"/>
        </w:rPr>
        <w:t xml:space="preserve"> o transitorios</w:t>
      </w:r>
      <w:r w:rsidR="001C5E96">
        <w:rPr>
          <w:b/>
          <w:color w:val="auto"/>
          <w:sz w:val="22"/>
          <w:szCs w:val="22"/>
        </w:rPr>
        <w:t>,</w:t>
      </w:r>
      <w:r w:rsidR="00337127" w:rsidRPr="007E051D">
        <w:rPr>
          <w:color w:val="auto"/>
          <w:sz w:val="22"/>
          <w:szCs w:val="22"/>
        </w:rPr>
        <w:t xml:space="preserve"> adscritos</w:t>
      </w:r>
      <w:r w:rsidR="00316131" w:rsidRPr="007E051D">
        <w:rPr>
          <w:color w:val="auto"/>
          <w:sz w:val="22"/>
          <w:szCs w:val="22"/>
        </w:rPr>
        <w:t xml:space="preserve"> la Universidad Tecnológica de Pereira.</w:t>
      </w:r>
      <w:r w:rsidR="007E051D" w:rsidRPr="007E051D">
        <w:rPr>
          <w:color w:val="auto"/>
          <w:sz w:val="22"/>
          <w:szCs w:val="22"/>
        </w:rPr>
        <w:t xml:space="preserve"> Se acepta como coautor un docente catedrático</w:t>
      </w:r>
      <w:r w:rsidR="00D973BF">
        <w:rPr>
          <w:color w:val="auto"/>
          <w:sz w:val="22"/>
          <w:szCs w:val="22"/>
        </w:rPr>
        <w:t xml:space="preserve"> o un externo</w:t>
      </w:r>
      <w:r w:rsidR="000379BD">
        <w:rPr>
          <w:color w:val="auto"/>
          <w:sz w:val="22"/>
          <w:szCs w:val="22"/>
        </w:rPr>
        <w:t xml:space="preserve"> que cumplan los requisitos establecidos en el numeral 1.2. </w:t>
      </w:r>
    </w:p>
    <w:p w14:paraId="7F236839" w14:textId="198930D4" w:rsidR="00157B52" w:rsidRPr="00D056C4" w:rsidRDefault="00E9756E" w:rsidP="00157B52">
      <w:pPr>
        <w:pStyle w:val="Default"/>
        <w:numPr>
          <w:ilvl w:val="1"/>
          <w:numId w:val="1"/>
        </w:numPr>
        <w:spacing w:after="14"/>
        <w:jc w:val="both"/>
        <w:rPr>
          <w:color w:val="auto"/>
          <w:sz w:val="22"/>
          <w:szCs w:val="22"/>
        </w:rPr>
      </w:pPr>
      <w:r w:rsidRPr="00D056C4">
        <w:rPr>
          <w:rFonts w:eastAsia="Times New Roman"/>
          <w:iCs/>
          <w:color w:val="auto"/>
          <w:sz w:val="22"/>
          <w:szCs w:val="22"/>
          <w:lang w:eastAsia="es-CO"/>
        </w:rPr>
        <w:t>Se financiará</w:t>
      </w:r>
      <w:r w:rsidR="00457C5C" w:rsidRPr="00D056C4">
        <w:rPr>
          <w:rFonts w:eastAsia="Times New Roman"/>
          <w:iCs/>
          <w:color w:val="auto"/>
          <w:sz w:val="22"/>
          <w:szCs w:val="22"/>
          <w:lang w:eastAsia="es-CO"/>
        </w:rPr>
        <w:t xml:space="preserve"> la publicación de libros resultados de proyectos concluidos </w:t>
      </w:r>
      <w:r w:rsidR="007E051D">
        <w:rPr>
          <w:rFonts w:eastAsia="Times New Roman"/>
          <w:iCs/>
          <w:color w:val="auto"/>
          <w:sz w:val="22"/>
          <w:szCs w:val="22"/>
          <w:lang w:eastAsia="es-CO"/>
        </w:rPr>
        <w:t>o en ejecución</w:t>
      </w:r>
      <w:r w:rsidR="00E8067E">
        <w:rPr>
          <w:rFonts w:eastAsia="Times New Roman"/>
          <w:iCs/>
          <w:color w:val="auto"/>
          <w:sz w:val="22"/>
          <w:szCs w:val="22"/>
          <w:lang w:eastAsia="es-CO"/>
        </w:rPr>
        <w:t xml:space="preserve"> (70% de ejecución como mínimo)</w:t>
      </w:r>
      <w:r w:rsidR="007E051D">
        <w:rPr>
          <w:rFonts w:eastAsia="Times New Roman"/>
          <w:iCs/>
          <w:color w:val="auto"/>
          <w:sz w:val="22"/>
          <w:szCs w:val="22"/>
          <w:lang w:eastAsia="es-CO"/>
        </w:rPr>
        <w:t xml:space="preserve"> </w:t>
      </w:r>
      <w:r w:rsidR="00457C5C" w:rsidRPr="00D056C4">
        <w:rPr>
          <w:rFonts w:eastAsia="Times New Roman"/>
          <w:iCs/>
          <w:color w:val="auto"/>
          <w:sz w:val="22"/>
          <w:szCs w:val="22"/>
          <w:lang w:eastAsia="es-CO"/>
        </w:rPr>
        <w:t>con o sin financiación inscritos en la Vicerrectoría de Investigaciones, Innovación y Extensión. Solo se aceptarán los resultados de proyectos con financiación que no contaban con recursos para p</w:t>
      </w:r>
      <w:r w:rsidR="000D6C28">
        <w:rPr>
          <w:rFonts w:eastAsia="Times New Roman"/>
          <w:iCs/>
          <w:color w:val="auto"/>
          <w:sz w:val="22"/>
          <w:szCs w:val="22"/>
          <w:lang w:eastAsia="es-CO"/>
        </w:rPr>
        <w:t>ublicaciones</w:t>
      </w:r>
      <w:r w:rsidR="00457C5C" w:rsidRPr="00D056C4">
        <w:rPr>
          <w:rFonts w:eastAsia="Times New Roman"/>
          <w:iCs/>
          <w:color w:val="auto"/>
          <w:sz w:val="22"/>
          <w:szCs w:val="22"/>
          <w:lang w:eastAsia="es-CO"/>
        </w:rPr>
        <w:t xml:space="preserve"> du</w:t>
      </w:r>
      <w:r w:rsidR="009E2ACA" w:rsidRPr="00D056C4">
        <w:rPr>
          <w:rFonts w:eastAsia="Times New Roman"/>
          <w:iCs/>
          <w:color w:val="auto"/>
          <w:sz w:val="22"/>
          <w:szCs w:val="22"/>
          <w:lang w:eastAsia="es-CO"/>
        </w:rPr>
        <w:t>rante la ejecución del proyecto</w:t>
      </w:r>
      <w:r w:rsidR="001C5E96">
        <w:rPr>
          <w:rFonts w:eastAsia="Times New Roman"/>
          <w:iCs/>
          <w:color w:val="auto"/>
          <w:sz w:val="22"/>
          <w:szCs w:val="22"/>
          <w:lang w:eastAsia="es-CO"/>
        </w:rPr>
        <w:t>.</w:t>
      </w:r>
      <w:r w:rsidR="009E2ACA" w:rsidRPr="00D056C4">
        <w:rPr>
          <w:rFonts w:eastAsia="Times New Roman"/>
          <w:iCs/>
          <w:color w:val="auto"/>
          <w:sz w:val="22"/>
          <w:szCs w:val="22"/>
          <w:lang w:eastAsia="es-CO"/>
        </w:rPr>
        <w:t xml:space="preserve"> </w:t>
      </w:r>
    </w:p>
    <w:p w14:paraId="0C6255FC" w14:textId="1E15DD2A" w:rsidR="00E4164F" w:rsidRPr="00D056C4" w:rsidRDefault="00435ECB" w:rsidP="00457C5C">
      <w:pPr>
        <w:pStyle w:val="Default"/>
        <w:numPr>
          <w:ilvl w:val="1"/>
          <w:numId w:val="1"/>
        </w:numPr>
        <w:spacing w:after="14"/>
        <w:jc w:val="both"/>
        <w:rPr>
          <w:color w:val="auto"/>
          <w:sz w:val="22"/>
          <w:szCs w:val="22"/>
        </w:rPr>
      </w:pPr>
      <w:r w:rsidRPr="00D056C4">
        <w:rPr>
          <w:color w:val="auto"/>
          <w:sz w:val="22"/>
          <w:szCs w:val="22"/>
        </w:rPr>
        <w:t xml:space="preserve">Los </w:t>
      </w:r>
      <w:r w:rsidR="00AB6CF0">
        <w:rPr>
          <w:color w:val="auto"/>
          <w:sz w:val="22"/>
          <w:szCs w:val="22"/>
        </w:rPr>
        <w:t>autores</w:t>
      </w:r>
      <w:r w:rsidR="00E4164F" w:rsidRPr="00D056C4">
        <w:rPr>
          <w:color w:val="auto"/>
          <w:sz w:val="22"/>
          <w:szCs w:val="22"/>
        </w:rPr>
        <w:t xml:space="preserve"> de </w:t>
      </w:r>
      <w:r w:rsidR="00AB6CF0">
        <w:rPr>
          <w:color w:val="auto"/>
          <w:sz w:val="22"/>
          <w:szCs w:val="22"/>
        </w:rPr>
        <w:t xml:space="preserve">los trabajos de </w:t>
      </w:r>
      <w:r w:rsidR="00E4164F" w:rsidRPr="00D056C4">
        <w:rPr>
          <w:color w:val="auto"/>
          <w:sz w:val="22"/>
          <w:szCs w:val="22"/>
        </w:rPr>
        <w:t xml:space="preserve">investigación que </w:t>
      </w:r>
      <w:r w:rsidR="005C4DA2">
        <w:rPr>
          <w:color w:val="auto"/>
          <w:sz w:val="22"/>
          <w:szCs w:val="22"/>
        </w:rPr>
        <w:t xml:space="preserve">se postulen a la </w:t>
      </w:r>
      <w:r w:rsidR="00E4164F" w:rsidRPr="00D056C4">
        <w:rPr>
          <w:color w:val="auto"/>
          <w:sz w:val="22"/>
          <w:szCs w:val="22"/>
        </w:rPr>
        <w:t>presente</w:t>
      </w:r>
      <w:r w:rsidR="0087243D" w:rsidRPr="00D056C4">
        <w:rPr>
          <w:color w:val="auto"/>
          <w:sz w:val="22"/>
          <w:szCs w:val="22"/>
        </w:rPr>
        <w:t xml:space="preserve"> convocatoria deberán encontrar</w:t>
      </w:r>
      <w:r w:rsidR="00E4164F" w:rsidRPr="00D056C4">
        <w:rPr>
          <w:color w:val="auto"/>
          <w:sz w:val="22"/>
          <w:szCs w:val="22"/>
        </w:rPr>
        <w:t xml:space="preserve">se a paz y salvo en la Vicerrectoría de Investigaciones, Innovación y Extensión </w:t>
      </w:r>
      <w:r w:rsidR="001E0EB3">
        <w:rPr>
          <w:color w:val="auto"/>
          <w:sz w:val="22"/>
          <w:szCs w:val="22"/>
        </w:rPr>
        <w:t>por todo concepto a la fecha de cierre</w:t>
      </w:r>
      <w:r w:rsidR="005C4DA2">
        <w:rPr>
          <w:color w:val="auto"/>
          <w:sz w:val="22"/>
          <w:szCs w:val="22"/>
        </w:rPr>
        <w:t xml:space="preserve"> de la</w:t>
      </w:r>
      <w:r w:rsidR="00E4164F" w:rsidRPr="00D056C4">
        <w:rPr>
          <w:color w:val="auto"/>
          <w:sz w:val="22"/>
          <w:szCs w:val="22"/>
        </w:rPr>
        <w:t xml:space="preserve"> convocatoria. </w:t>
      </w:r>
    </w:p>
    <w:p w14:paraId="33896104" w14:textId="3013CDAD" w:rsidR="00157B52" w:rsidRPr="00E85E68" w:rsidRDefault="005C4DA2" w:rsidP="00386198">
      <w:pPr>
        <w:pStyle w:val="Default"/>
        <w:numPr>
          <w:ilvl w:val="1"/>
          <w:numId w:val="1"/>
        </w:numPr>
        <w:spacing w:after="1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 aceptarán</w:t>
      </w:r>
      <w:r w:rsidR="00157B52" w:rsidRPr="00E85E68">
        <w:rPr>
          <w:color w:val="auto"/>
          <w:sz w:val="22"/>
          <w:szCs w:val="22"/>
        </w:rPr>
        <w:t xml:space="preserve"> proyectos que hayan concluido </w:t>
      </w:r>
      <w:r w:rsidR="00993E14" w:rsidRPr="00E85E68">
        <w:rPr>
          <w:color w:val="auto"/>
          <w:sz w:val="22"/>
          <w:szCs w:val="22"/>
        </w:rPr>
        <w:t xml:space="preserve">entre el </w:t>
      </w:r>
      <w:r w:rsidR="001C5E96">
        <w:rPr>
          <w:color w:val="auto"/>
          <w:sz w:val="22"/>
          <w:szCs w:val="22"/>
        </w:rPr>
        <w:t>año</w:t>
      </w:r>
      <w:r w:rsidR="00990A44" w:rsidRPr="00927959">
        <w:rPr>
          <w:b/>
          <w:color w:val="auto"/>
          <w:sz w:val="22"/>
          <w:szCs w:val="22"/>
        </w:rPr>
        <w:t xml:space="preserve"> </w:t>
      </w:r>
      <w:r w:rsidR="00990A44" w:rsidRPr="00AB6CF0">
        <w:rPr>
          <w:color w:val="000000" w:themeColor="text1"/>
          <w:sz w:val="22"/>
          <w:szCs w:val="22"/>
        </w:rPr>
        <w:t>201</w:t>
      </w:r>
      <w:r w:rsidR="00AB6CF0" w:rsidRPr="00AB6CF0">
        <w:rPr>
          <w:color w:val="000000" w:themeColor="text1"/>
          <w:sz w:val="22"/>
          <w:szCs w:val="22"/>
        </w:rPr>
        <w:t>6</w:t>
      </w:r>
      <w:r w:rsidR="00F34CA1" w:rsidRPr="00AB6CF0">
        <w:rPr>
          <w:color w:val="000000" w:themeColor="text1"/>
          <w:sz w:val="22"/>
          <w:szCs w:val="22"/>
        </w:rPr>
        <w:t xml:space="preserve"> </w:t>
      </w:r>
      <w:r w:rsidRPr="00AB6CF0">
        <w:rPr>
          <w:color w:val="000000" w:themeColor="text1"/>
          <w:sz w:val="22"/>
          <w:szCs w:val="22"/>
        </w:rPr>
        <w:t>y 20</w:t>
      </w:r>
      <w:r w:rsidR="00067E2E" w:rsidRPr="00AB6CF0">
        <w:rPr>
          <w:color w:val="000000" w:themeColor="text1"/>
          <w:sz w:val="22"/>
          <w:szCs w:val="22"/>
        </w:rPr>
        <w:t>20</w:t>
      </w:r>
      <w:r w:rsidRPr="00AB6CF0">
        <w:rPr>
          <w:color w:val="000000" w:themeColor="text1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además de</w:t>
      </w:r>
      <w:r w:rsidR="001C5E96">
        <w:rPr>
          <w:color w:val="auto"/>
          <w:sz w:val="22"/>
          <w:szCs w:val="22"/>
        </w:rPr>
        <w:t xml:space="preserve"> los proyectos que se encuentre</w:t>
      </w:r>
      <w:r w:rsidR="001C5E96" w:rsidRPr="001C5E96">
        <w:rPr>
          <w:color w:val="auto"/>
          <w:sz w:val="22"/>
          <w:szCs w:val="22"/>
        </w:rPr>
        <w:t xml:space="preserve">n actualmente </w:t>
      </w:r>
      <w:r w:rsidR="00565548">
        <w:rPr>
          <w:color w:val="auto"/>
          <w:sz w:val="22"/>
          <w:szCs w:val="22"/>
        </w:rPr>
        <w:t xml:space="preserve">con un porcentaje de </w:t>
      </w:r>
      <w:r w:rsidR="001C5E96" w:rsidRPr="001C5E96">
        <w:rPr>
          <w:color w:val="auto"/>
          <w:sz w:val="22"/>
          <w:szCs w:val="22"/>
        </w:rPr>
        <w:t>ejecución</w:t>
      </w:r>
      <w:r w:rsidR="00565548">
        <w:rPr>
          <w:color w:val="auto"/>
          <w:sz w:val="22"/>
          <w:szCs w:val="22"/>
        </w:rPr>
        <w:t xml:space="preserve"> del 70%</w:t>
      </w:r>
      <w:r w:rsidR="00E8067E">
        <w:rPr>
          <w:color w:val="auto"/>
          <w:sz w:val="22"/>
          <w:szCs w:val="22"/>
        </w:rPr>
        <w:t xml:space="preserve"> como mínimo</w:t>
      </w:r>
      <w:r w:rsidR="001C5E96">
        <w:rPr>
          <w:color w:val="auto"/>
          <w:sz w:val="22"/>
          <w:szCs w:val="22"/>
        </w:rPr>
        <w:t>.</w:t>
      </w:r>
      <w:r w:rsidR="001C5E96">
        <w:rPr>
          <w:b/>
          <w:color w:val="auto"/>
          <w:sz w:val="22"/>
          <w:szCs w:val="22"/>
        </w:rPr>
        <w:t xml:space="preserve"> </w:t>
      </w:r>
    </w:p>
    <w:p w14:paraId="385BA055" w14:textId="77A22AA2" w:rsidR="002A77D4" w:rsidRPr="00D056C4" w:rsidRDefault="001C5E96" w:rsidP="002A77D4">
      <w:pPr>
        <w:pStyle w:val="Default"/>
        <w:numPr>
          <w:ilvl w:val="1"/>
          <w:numId w:val="1"/>
        </w:numPr>
        <w:spacing w:after="1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E4164F" w:rsidRPr="00D056C4">
        <w:rPr>
          <w:color w:val="auto"/>
          <w:sz w:val="22"/>
          <w:szCs w:val="22"/>
        </w:rPr>
        <w:t>e podr</w:t>
      </w:r>
      <w:r w:rsidR="00BA1E7A" w:rsidRPr="00D056C4">
        <w:rPr>
          <w:color w:val="auto"/>
          <w:sz w:val="22"/>
          <w:szCs w:val="22"/>
        </w:rPr>
        <w:t>á</w:t>
      </w:r>
      <w:r>
        <w:rPr>
          <w:color w:val="auto"/>
          <w:sz w:val="22"/>
          <w:szCs w:val="22"/>
        </w:rPr>
        <w:t>n</w:t>
      </w:r>
      <w:r w:rsidR="00BA1E7A" w:rsidRPr="00D056C4">
        <w:rPr>
          <w:color w:val="auto"/>
          <w:sz w:val="22"/>
          <w:szCs w:val="22"/>
        </w:rPr>
        <w:t xml:space="preserve"> presentar </w:t>
      </w:r>
      <w:r>
        <w:rPr>
          <w:color w:val="auto"/>
          <w:sz w:val="22"/>
          <w:szCs w:val="22"/>
        </w:rPr>
        <w:t xml:space="preserve">hasta dos </w:t>
      </w:r>
      <w:r w:rsidR="00D36DCF" w:rsidRPr="00D056C4">
        <w:rPr>
          <w:color w:val="auto"/>
          <w:sz w:val="22"/>
          <w:szCs w:val="22"/>
        </w:rPr>
        <w:t>postulacion</w:t>
      </w:r>
      <w:r w:rsidR="00D36DCF">
        <w:rPr>
          <w:color w:val="auto"/>
          <w:sz w:val="22"/>
          <w:szCs w:val="22"/>
        </w:rPr>
        <w:t>es</w:t>
      </w:r>
      <w:r w:rsidR="00BA1E7A" w:rsidRPr="00D056C4">
        <w:rPr>
          <w:color w:val="auto"/>
          <w:sz w:val="22"/>
          <w:szCs w:val="22"/>
        </w:rPr>
        <w:t xml:space="preserve"> por grupo</w:t>
      </w:r>
      <w:r w:rsidR="00A00661">
        <w:rPr>
          <w:color w:val="auto"/>
          <w:sz w:val="22"/>
          <w:szCs w:val="22"/>
        </w:rPr>
        <w:t xml:space="preserve"> de investigación</w:t>
      </w:r>
      <w:r w:rsidR="00BA1E7A" w:rsidRPr="00D056C4">
        <w:rPr>
          <w:color w:val="auto"/>
          <w:sz w:val="22"/>
          <w:szCs w:val="22"/>
        </w:rPr>
        <w:t xml:space="preserve"> </w:t>
      </w:r>
      <w:r w:rsidR="00E4164F" w:rsidRPr="00D056C4">
        <w:rPr>
          <w:color w:val="auto"/>
          <w:sz w:val="22"/>
          <w:szCs w:val="22"/>
        </w:rPr>
        <w:t xml:space="preserve">para financiar </w:t>
      </w:r>
      <w:r w:rsidR="0089064B" w:rsidRPr="00D056C4">
        <w:rPr>
          <w:color w:val="auto"/>
          <w:sz w:val="22"/>
          <w:szCs w:val="22"/>
        </w:rPr>
        <w:t xml:space="preserve">la publicación en forma impresa o digital </w:t>
      </w:r>
      <w:r w:rsidR="00BA1E7A" w:rsidRPr="00D056C4">
        <w:rPr>
          <w:color w:val="auto"/>
          <w:sz w:val="22"/>
          <w:szCs w:val="22"/>
        </w:rPr>
        <w:t>de libros resultado</w:t>
      </w:r>
      <w:r w:rsidR="005C4DA2">
        <w:rPr>
          <w:color w:val="auto"/>
          <w:sz w:val="22"/>
          <w:szCs w:val="22"/>
        </w:rPr>
        <w:t>s</w:t>
      </w:r>
      <w:r w:rsidR="004477D6" w:rsidRPr="00D056C4">
        <w:rPr>
          <w:color w:val="auto"/>
          <w:sz w:val="22"/>
          <w:szCs w:val="22"/>
        </w:rPr>
        <w:t xml:space="preserve"> de investigación </w:t>
      </w:r>
      <w:r w:rsidR="00435ECB" w:rsidRPr="00D056C4">
        <w:rPr>
          <w:color w:val="auto"/>
          <w:sz w:val="22"/>
          <w:szCs w:val="22"/>
        </w:rPr>
        <w:t>hasta por valor máximo de $6</w:t>
      </w:r>
      <w:r w:rsidR="00BA1E7A" w:rsidRPr="00D056C4">
        <w:rPr>
          <w:color w:val="auto"/>
          <w:sz w:val="22"/>
          <w:szCs w:val="22"/>
        </w:rPr>
        <w:t xml:space="preserve">.000.000. </w:t>
      </w:r>
      <w:r w:rsidR="00AB6CF0">
        <w:rPr>
          <w:color w:val="auto"/>
          <w:sz w:val="22"/>
          <w:szCs w:val="22"/>
        </w:rPr>
        <w:t>Los libros que excedan el valor máximo de $ 6.000.000 se publicarán en forma digital.</w:t>
      </w:r>
      <w:r w:rsidR="00F02614" w:rsidRPr="00D056C4">
        <w:rPr>
          <w:color w:val="auto"/>
          <w:sz w:val="22"/>
          <w:szCs w:val="22"/>
        </w:rPr>
        <w:t xml:space="preserve"> </w:t>
      </w:r>
      <w:r w:rsidR="00D36DCF">
        <w:rPr>
          <w:color w:val="auto"/>
          <w:sz w:val="22"/>
          <w:szCs w:val="22"/>
        </w:rPr>
        <w:t xml:space="preserve">Se priorizará la publicación de un trabajo </w:t>
      </w:r>
      <w:r w:rsidR="00FB687B">
        <w:rPr>
          <w:color w:val="auto"/>
          <w:sz w:val="22"/>
          <w:szCs w:val="22"/>
        </w:rPr>
        <w:t xml:space="preserve">de investigación </w:t>
      </w:r>
      <w:r w:rsidR="00D36DCF">
        <w:rPr>
          <w:color w:val="auto"/>
          <w:sz w:val="22"/>
          <w:szCs w:val="22"/>
        </w:rPr>
        <w:t xml:space="preserve">por grupo y de contar con recursos se asignarán </w:t>
      </w:r>
      <w:r w:rsidR="00FB687B">
        <w:rPr>
          <w:color w:val="auto"/>
          <w:sz w:val="22"/>
          <w:szCs w:val="22"/>
        </w:rPr>
        <w:t xml:space="preserve">en orden descendente por el </w:t>
      </w:r>
      <w:r w:rsidR="00D36DCF">
        <w:rPr>
          <w:color w:val="auto"/>
          <w:sz w:val="22"/>
          <w:szCs w:val="22"/>
        </w:rPr>
        <w:t xml:space="preserve">promedio de las evaluaciones externas de mayor a menor. </w:t>
      </w:r>
    </w:p>
    <w:p w14:paraId="2E22BA77" w14:textId="77777777" w:rsidR="008315BA" w:rsidRDefault="002A77D4" w:rsidP="00500D93">
      <w:pPr>
        <w:pStyle w:val="Default"/>
        <w:numPr>
          <w:ilvl w:val="1"/>
          <w:numId w:val="1"/>
        </w:numPr>
        <w:spacing w:after="14"/>
        <w:jc w:val="both"/>
        <w:rPr>
          <w:color w:val="auto"/>
          <w:sz w:val="22"/>
          <w:szCs w:val="22"/>
        </w:rPr>
      </w:pPr>
      <w:r w:rsidRPr="008315BA">
        <w:rPr>
          <w:color w:val="auto"/>
          <w:sz w:val="22"/>
          <w:szCs w:val="22"/>
        </w:rPr>
        <w:lastRenderedPageBreak/>
        <w:t xml:space="preserve">Los autores sólo podrán participar en una de las convocatorias orientadas a la publicación de libros (Investigación, Ensayo o Texto). </w:t>
      </w:r>
    </w:p>
    <w:p w14:paraId="05583C0E" w14:textId="30FB5089" w:rsidR="00C24515" w:rsidRPr="001652FF" w:rsidRDefault="001652FF" w:rsidP="001652FF">
      <w:pPr>
        <w:pStyle w:val="Default"/>
        <w:numPr>
          <w:ilvl w:val="1"/>
          <w:numId w:val="1"/>
        </w:numPr>
        <w:spacing w:after="14"/>
        <w:jc w:val="both"/>
        <w:rPr>
          <w:color w:val="auto"/>
          <w:sz w:val="22"/>
          <w:szCs w:val="22"/>
        </w:rPr>
      </w:pPr>
      <w:r w:rsidRPr="001652FF">
        <w:rPr>
          <w:color w:val="auto"/>
          <w:sz w:val="22"/>
          <w:szCs w:val="22"/>
        </w:rPr>
        <w:t xml:space="preserve">Para la participación en esta convocatoria se deben radicar a través del correo electrónico </w:t>
      </w:r>
      <w:hyperlink r:id="rId5" w:history="1">
        <w:r w:rsidR="00143BB9" w:rsidRPr="002B6A4E">
          <w:rPr>
            <w:rStyle w:val="Hipervnculo"/>
            <w:sz w:val="22"/>
            <w:szCs w:val="22"/>
          </w:rPr>
          <w:t>lazos@utp.edu.co</w:t>
        </w:r>
      </w:hyperlink>
      <w:r w:rsidR="00143BB9">
        <w:rPr>
          <w:color w:val="auto"/>
          <w:sz w:val="22"/>
          <w:szCs w:val="22"/>
        </w:rPr>
        <w:t xml:space="preserve"> </w:t>
      </w:r>
      <w:r w:rsidRPr="001652FF">
        <w:rPr>
          <w:color w:val="auto"/>
          <w:sz w:val="22"/>
          <w:szCs w:val="22"/>
        </w:rPr>
        <w:t>dirigido a la Vicerrectoría de Investigaciones, Innovación y Extensión, con Asunto: CONVOCATORIA PARA FOMENTAR LA</w:t>
      </w:r>
      <w:r>
        <w:rPr>
          <w:color w:val="auto"/>
          <w:sz w:val="22"/>
          <w:szCs w:val="22"/>
        </w:rPr>
        <w:t xml:space="preserve"> </w:t>
      </w:r>
      <w:r w:rsidRPr="001652FF">
        <w:rPr>
          <w:color w:val="auto"/>
          <w:sz w:val="22"/>
          <w:szCs w:val="22"/>
        </w:rPr>
        <w:t>PUBLICACIÓN DE LIBRO RESULTADO DE INVESTIGACIÓN AÑO 2021, los siguientes documentos</w:t>
      </w:r>
      <w:r w:rsidR="00E4164F" w:rsidRPr="001652FF">
        <w:rPr>
          <w:color w:val="auto"/>
          <w:sz w:val="22"/>
          <w:szCs w:val="22"/>
        </w:rPr>
        <w:t>:</w:t>
      </w:r>
    </w:p>
    <w:p w14:paraId="250489E1" w14:textId="77777777" w:rsidR="00386198" w:rsidRPr="00D056C4" w:rsidRDefault="00DC4541" w:rsidP="005566F7">
      <w:pPr>
        <w:pStyle w:val="Default"/>
        <w:numPr>
          <w:ilvl w:val="2"/>
          <w:numId w:val="1"/>
        </w:numPr>
        <w:spacing w:after="14"/>
        <w:jc w:val="both"/>
        <w:rPr>
          <w:color w:val="auto"/>
          <w:sz w:val="22"/>
          <w:szCs w:val="22"/>
        </w:rPr>
      </w:pPr>
      <w:r w:rsidRPr="00D056C4">
        <w:rPr>
          <w:color w:val="auto"/>
          <w:sz w:val="22"/>
          <w:szCs w:val="22"/>
        </w:rPr>
        <w:t>C</w:t>
      </w:r>
      <w:r w:rsidR="00E4164F" w:rsidRPr="00D056C4">
        <w:rPr>
          <w:color w:val="auto"/>
          <w:sz w:val="22"/>
          <w:szCs w:val="22"/>
        </w:rPr>
        <w:t xml:space="preserve">arta de intención </w:t>
      </w:r>
      <w:r w:rsidR="009949FE" w:rsidRPr="00D056C4">
        <w:rPr>
          <w:b/>
          <w:color w:val="auto"/>
          <w:sz w:val="22"/>
          <w:szCs w:val="22"/>
        </w:rPr>
        <w:t>(Anexo 1)</w:t>
      </w:r>
      <w:r w:rsidR="009949FE" w:rsidRPr="00D056C4">
        <w:rPr>
          <w:color w:val="auto"/>
          <w:sz w:val="22"/>
          <w:szCs w:val="22"/>
        </w:rPr>
        <w:t xml:space="preserve"> </w:t>
      </w:r>
      <w:r w:rsidR="00E4164F" w:rsidRPr="00D056C4">
        <w:rPr>
          <w:color w:val="auto"/>
          <w:sz w:val="22"/>
          <w:szCs w:val="22"/>
        </w:rPr>
        <w:t xml:space="preserve">para la participación en la convocatoria donde se </w:t>
      </w:r>
      <w:r w:rsidR="00D516A5" w:rsidRPr="00D056C4">
        <w:rPr>
          <w:color w:val="auto"/>
          <w:sz w:val="22"/>
          <w:szCs w:val="22"/>
        </w:rPr>
        <w:t>establezca que</w:t>
      </w:r>
      <w:r w:rsidR="00A02E06" w:rsidRPr="00D056C4">
        <w:rPr>
          <w:color w:val="auto"/>
          <w:sz w:val="22"/>
          <w:szCs w:val="22"/>
        </w:rPr>
        <w:t xml:space="preserve"> </w:t>
      </w:r>
      <w:r w:rsidR="00EF6896" w:rsidRPr="00D056C4">
        <w:rPr>
          <w:color w:val="auto"/>
          <w:sz w:val="22"/>
          <w:szCs w:val="22"/>
        </w:rPr>
        <w:t xml:space="preserve">el trabajo corresponde a la </w:t>
      </w:r>
      <w:r w:rsidR="00A02E06" w:rsidRPr="00D056C4">
        <w:rPr>
          <w:color w:val="auto"/>
          <w:sz w:val="22"/>
          <w:szCs w:val="22"/>
        </w:rPr>
        <w:t>línea e</w:t>
      </w:r>
      <w:r w:rsidR="0046738B" w:rsidRPr="00D056C4">
        <w:rPr>
          <w:color w:val="auto"/>
          <w:sz w:val="22"/>
          <w:szCs w:val="22"/>
        </w:rPr>
        <w:t xml:space="preserve">ditorial </w:t>
      </w:r>
      <w:r w:rsidR="00F45090">
        <w:rPr>
          <w:color w:val="auto"/>
          <w:sz w:val="22"/>
          <w:szCs w:val="22"/>
        </w:rPr>
        <w:t>Resultado</w:t>
      </w:r>
      <w:r w:rsidR="00843774">
        <w:rPr>
          <w:color w:val="auto"/>
          <w:sz w:val="22"/>
          <w:szCs w:val="22"/>
        </w:rPr>
        <w:t xml:space="preserve"> </w:t>
      </w:r>
      <w:r w:rsidR="00EF6896" w:rsidRPr="00D056C4">
        <w:rPr>
          <w:color w:val="auto"/>
          <w:sz w:val="22"/>
          <w:szCs w:val="22"/>
        </w:rPr>
        <w:t xml:space="preserve">de Investigación, </w:t>
      </w:r>
      <w:r w:rsidR="005614A3" w:rsidRPr="00D056C4">
        <w:rPr>
          <w:color w:val="auto"/>
          <w:sz w:val="22"/>
          <w:szCs w:val="22"/>
        </w:rPr>
        <w:t xml:space="preserve">se debe indicar </w:t>
      </w:r>
      <w:r w:rsidR="00D516A5" w:rsidRPr="00D056C4">
        <w:rPr>
          <w:color w:val="auto"/>
          <w:sz w:val="22"/>
          <w:szCs w:val="22"/>
        </w:rPr>
        <w:t>el código</w:t>
      </w:r>
      <w:r w:rsidR="00BA2F2A" w:rsidRPr="00D056C4">
        <w:rPr>
          <w:color w:val="auto"/>
          <w:sz w:val="22"/>
          <w:szCs w:val="22"/>
        </w:rPr>
        <w:t xml:space="preserve"> y nombre del proyecto del cual </w:t>
      </w:r>
      <w:r w:rsidR="005614A3" w:rsidRPr="00D056C4">
        <w:rPr>
          <w:color w:val="auto"/>
          <w:sz w:val="22"/>
          <w:szCs w:val="22"/>
        </w:rPr>
        <w:t>fue resultado el libro que se postulará.</w:t>
      </w:r>
      <w:r w:rsidR="00BF1545" w:rsidRPr="00D056C4">
        <w:rPr>
          <w:color w:val="auto"/>
          <w:sz w:val="22"/>
          <w:szCs w:val="22"/>
        </w:rPr>
        <w:t xml:space="preserve"> </w:t>
      </w:r>
      <w:r w:rsidR="005566F7" w:rsidRPr="00D056C4">
        <w:rPr>
          <w:color w:val="auto"/>
          <w:sz w:val="22"/>
          <w:szCs w:val="22"/>
        </w:rPr>
        <w:t xml:space="preserve">Debe estar firmada por </w:t>
      </w:r>
      <w:r w:rsidR="00E167DD">
        <w:rPr>
          <w:color w:val="auto"/>
          <w:sz w:val="22"/>
          <w:szCs w:val="22"/>
        </w:rPr>
        <w:t xml:space="preserve">el </w:t>
      </w:r>
      <w:r w:rsidR="005566F7" w:rsidRPr="00D056C4">
        <w:rPr>
          <w:color w:val="auto"/>
          <w:sz w:val="22"/>
          <w:szCs w:val="22"/>
        </w:rPr>
        <w:t xml:space="preserve">autor </w:t>
      </w:r>
      <w:r w:rsidR="00E167DD">
        <w:rPr>
          <w:color w:val="auto"/>
          <w:sz w:val="22"/>
          <w:szCs w:val="22"/>
        </w:rPr>
        <w:t xml:space="preserve">del libro </w:t>
      </w:r>
      <w:r w:rsidR="005566F7" w:rsidRPr="00D056C4">
        <w:rPr>
          <w:color w:val="auto"/>
          <w:sz w:val="22"/>
          <w:szCs w:val="22"/>
        </w:rPr>
        <w:t>y el Director del grupo de investigación que presenta el trabajo.</w:t>
      </w:r>
      <w:r w:rsidR="00E4164F" w:rsidRPr="00D056C4">
        <w:rPr>
          <w:color w:val="auto"/>
          <w:sz w:val="22"/>
          <w:szCs w:val="22"/>
        </w:rPr>
        <w:t xml:space="preserve"> </w:t>
      </w:r>
    </w:p>
    <w:p w14:paraId="3A2A3755" w14:textId="77777777" w:rsidR="00386198" w:rsidRPr="00D056C4" w:rsidRDefault="00D516A5" w:rsidP="00F167B4">
      <w:pPr>
        <w:pStyle w:val="Default"/>
        <w:numPr>
          <w:ilvl w:val="2"/>
          <w:numId w:val="1"/>
        </w:numPr>
        <w:spacing w:after="14"/>
        <w:jc w:val="both"/>
        <w:rPr>
          <w:color w:val="auto"/>
          <w:sz w:val="22"/>
          <w:szCs w:val="22"/>
        </w:rPr>
      </w:pPr>
      <w:r w:rsidRPr="00D056C4">
        <w:rPr>
          <w:color w:val="auto"/>
          <w:sz w:val="22"/>
          <w:szCs w:val="22"/>
        </w:rPr>
        <w:t>Documento en</w:t>
      </w:r>
      <w:r w:rsidR="005566F7" w:rsidRPr="00D056C4">
        <w:rPr>
          <w:color w:val="auto"/>
          <w:sz w:val="22"/>
          <w:szCs w:val="22"/>
        </w:rPr>
        <w:t xml:space="preserve"> archivo digital </w:t>
      </w:r>
      <w:r w:rsidR="00E4164F" w:rsidRPr="00D056C4">
        <w:rPr>
          <w:color w:val="auto"/>
          <w:sz w:val="22"/>
          <w:szCs w:val="22"/>
        </w:rPr>
        <w:t xml:space="preserve">del </w:t>
      </w:r>
      <w:r w:rsidR="0075104D" w:rsidRPr="00D056C4">
        <w:rPr>
          <w:color w:val="auto"/>
          <w:sz w:val="22"/>
          <w:szCs w:val="22"/>
        </w:rPr>
        <w:t>libro</w:t>
      </w:r>
      <w:r w:rsidR="00E4164F" w:rsidRPr="00D056C4">
        <w:rPr>
          <w:color w:val="auto"/>
          <w:sz w:val="22"/>
          <w:szCs w:val="22"/>
        </w:rPr>
        <w:t xml:space="preserve"> a publicar.</w:t>
      </w:r>
      <w:r w:rsidR="00586E66" w:rsidRPr="00D056C4">
        <w:rPr>
          <w:color w:val="auto"/>
          <w:sz w:val="22"/>
          <w:szCs w:val="22"/>
        </w:rPr>
        <w:t xml:space="preserve"> El documento debe </w:t>
      </w:r>
      <w:r w:rsidR="00F167B4" w:rsidRPr="00D056C4">
        <w:rPr>
          <w:color w:val="auto"/>
          <w:sz w:val="22"/>
          <w:szCs w:val="22"/>
        </w:rPr>
        <w:t xml:space="preserve">ser inédito y </w:t>
      </w:r>
      <w:r w:rsidR="00586E66" w:rsidRPr="00D056C4">
        <w:rPr>
          <w:color w:val="auto"/>
          <w:sz w:val="22"/>
          <w:szCs w:val="22"/>
        </w:rPr>
        <w:t>cumplir con los requis</w:t>
      </w:r>
      <w:r w:rsidR="00F02614" w:rsidRPr="00D056C4">
        <w:rPr>
          <w:color w:val="auto"/>
          <w:sz w:val="22"/>
          <w:szCs w:val="22"/>
        </w:rPr>
        <w:t xml:space="preserve">itos establecidos en </w:t>
      </w:r>
      <w:r w:rsidR="00447AFB" w:rsidRPr="00D056C4">
        <w:rPr>
          <w:color w:val="auto"/>
          <w:sz w:val="22"/>
          <w:szCs w:val="22"/>
        </w:rPr>
        <w:t>el Manual</w:t>
      </w:r>
      <w:r w:rsidR="00F02614" w:rsidRPr="00D056C4">
        <w:rPr>
          <w:color w:val="auto"/>
          <w:sz w:val="22"/>
          <w:szCs w:val="22"/>
        </w:rPr>
        <w:t xml:space="preserve"> de Lineamientos de la </w:t>
      </w:r>
      <w:r w:rsidR="00921024" w:rsidRPr="00D056C4">
        <w:rPr>
          <w:color w:val="auto"/>
          <w:sz w:val="22"/>
          <w:szCs w:val="22"/>
        </w:rPr>
        <w:t xml:space="preserve">Editorial UTP </w:t>
      </w:r>
      <w:r w:rsidR="00447AFB" w:rsidRPr="002846B6">
        <w:rPr>
          <w:b/>
          <w:color w:val="auto"/>
          <w:sz w:val="22"/>
          <w:szCs w:val="22"/>
        </w:rPr>
        <w:t>(</w:t>
      </w:r>
      <w:r w:rsidR="00921024" w:rsidRPr="002846B6">
        <w:rPr>
          <w:b/>
          <w:color w:val="auto"/>
          <w:sz w:val="22"/>
          <w:szCs w:val="22"/>
        </w:rPr>
        <w:t>anexo 4</w:t>
      </w:r>
      <w:r w:rsidR="00447AFB" w:rsidRPr="002846B6">
        <w:rPr>
          <w:b/>
          <w:color w:val="auto"/>
          <w:sz w:val="22"/>
          <w:szCs w:val="22"/>
        </w:rPr>
        <w:t>)</w:t>
      </w:r>
      <w:r w:rsidR="00F02614" w:rsidRPr="002846B6">
        <w:rPr>
          <w:b/>
          <w:color w:val="auto"/>
          <w:sz w:val="22"/>
          <w:szCs w:val="22"/>
        </w:rPr>
        <w:t>.</w:t>
      </w:r>
    </w:p>
    <w:p w14:paraId="0099935F" w14:textId="77777777" w:rsidR="0075104D" w:rsidRPr="00D056C4" w:rsidRDefault="0075104D" w:rsidP="00F167B4">
      <w:pPr>
        <w:pStyle w:val="Default"/>
        <w:numPr>
          <w:ilvl w:val="2"/>
          <w:numId w:val="1"/>
        </w:numPr>
        <w:jc w:val="both"/>
        <w:rPr>
          <w:color w:val="auto"/>
          <w:sz w:val="22"/>
          <w:szCs w:val="22"/>
        </w:rPr>
      </w:pPr>
      <w:r w:rsidRPr="00D056C4">
        <w:rPr>
          <w:color w:val="auto"/>
          <w:sz w:val="22"/>
          <w:szCs w:val="22"/>
        </w:rPr>
        <w:t xml:space="preserve">Carta de </w:t>
      </w:r>
      <w:r w:rsidR="00E4164F" w:rsidRPr="00D056C4">
        <w:rPr>
          <w:color w:val="auto"/>
          <w:sz w:val="22"/>
          <w:szCs w:val="22"/>
        </w:rPr>
        <w:t>Aval del Consejo de Facultad respectivo para la publicación del libro</w:t>
      </w:r>
      <w:r w:rsidR="009B7CA1" w:rsidRPr="00D056C4">
        <w:rPr>
          <w:color w:val="auto"/>
          <w:sz w:val="22"/>
          <w:szCs w:val="22"/>
        </w:rPr>
        <w:t xml:space="preserve"> y</w:t>
      </w:r>
      <w:r w:rsidR="00E4164F" w:rsidRPr="00D056C4">
        <w:rPr>
          <w:color w:val="auto"/>
          <w:sz w:val="22"/>
          <w:szCs w:val="22"/>
        </w:rPr>
        <w:t xml:space="preserve"> la evaluación interna realizada.</w:t>
      </w:r>
      <w:r w:rsidR="00736B21" w:rsidRPr="00D056C4">
        <w:rPr>
          <w:color w:val="auto"/>
          <w:sz w:val="22"/>
          <w:szCs w:val="22"/>
        </w:rPr>
        <w:t xml:space="preserve"> </w:t>
      </w:r>
    </w:p>
    <w:p w14:paraId="1EB74EAC" w14:textId="77777777" w:rsidR="005B154B" w:rsidRPr="00D056C4" w:rsidRDefault="005B154B" w:rsidP="00386198">
      <w:pPr>
        <w:pStyle w:val="Default"/>
        <w:spacing w:after="14"/>
        <w:jc w:val="both"/>
        <w:rPr>
          <w:color w:val="auto"/>
          <w:sz w:val="22"/>
          <w:szCs w:val="22"/>
        </w:rPr>
      </w:pPr>
    </w:p>
    <w:p w14:paraId="7951E7EF" w14:textId="77777777" w:rsidR="00F208A5" w:rsidRPr="00D056C4" w:rsidRDefault="00F208A5" w:rsidP="00386198">
      <w:pPr>
        <w:pStyle w:val="Default"/>
        <w:spacing w:after="14"/>
        <w:jc w:val="both"/>
        <w:rPr>
          <w:color w:val="auto"/>
          <w:sz w:val="22"/>
          <w:szCs w:val="22"/>
        </w:rPr>
      </w:pPr>
    </w:p>
    <w:p w14:paraId="4DE10C38" w14:textId="658582DC" w:rsidR="00F208A5" w:rsidRDefault="000A2A77" w:rsidP="00AB6CF0">
      <w:pPr>
        <w:pStyle w:val="Default"/>
        <w:jc w:val="both"/>
        <w:rPr>
          <w:color w:val="auto"/>
          <w:sz w:val="22"/>
          <w:szCs w:val="22"/>
        </w:rPr>
      </w:pPr>
      <w:r w:rsidRPr="00917A92">
        <w:rPr>
          <w:b/>
          <w:color w:val="000000" w:themeColor="text1"/>
          <w:sz w:val="22"/>
          <w:szCs w:val="22"/>
        </w:rPr>
        <w:t xml:space="preserve">NOTA 1: </w:t>
      </w:r>
      <w:r w:rsidRPr="00917A92">
        <w:rPr>
          <w:color w:val="000000" w:themeColor="text1"/>
          <w:sz w:val="22"/>
          <w:szCs w:val="22"/>
        </w:rPr>
        <w:t xml:space="preserve">No se aceptarán </w:t>
      </w:r>
      <w:r w:rsidRPr="00917A92">
        <w:rPr>
          <w:rFonts w:eastAsia="Times New Roman"/>
          <w:color w:val="000000" w:themeColor="text1"/>
          <w:sz w:val="22"/>
          <w:szCs w:val="22"/>
          <w:lang w:eastAsia="es-CO"/>
        </w:rPr>
        <w:t>memorando</w:t>
      </w:r>
      <w:r w:rsidR="00AB6CF0">
        <w:rPr>
          <w:rFonts w:eastAsia="Times New Roman"/>
          <w:color w:val="000000" w:themeColor="text1"/>
          <w:sz w:val="22"/>
          <w:szCs w:val="22"/>
          <w:lang w:eastAsia="es-CO"/>
        </w:rPr>
        <w:t>s</w:t>
      </w:r>
      <w:r w:rsidRPr="00917A92">
        <w:rPr>
          <w:rFonts w:eastAsia="Times New Roman"/>
          <w:color w:val="000000" w:themeColor="text1"/>
          <w:sz w:val="22"/>
          <w:szCs w:val="22"/>
          <w:lang w:eastAsia="es-CO"/>
        </w:rPr>
        <w:t xml:space="preserve"> enviados por el aplicativo de Gestión de Documentos. El único medio de entrega de la información para participar en la presente convocatoria es </w:t>
      </w:r>
      <w:r w:rsidR="00AB6CF0">
        <w:rPr>
          <w:rFonts w:eastAsia="Times New Roman"/>
          <w:color w:val="000000" w:themeColor="text1"/>
          <w:sz w:val="22"/>
          <w:szCs w:val="22"/>
          <w:lang w:eastAsia="es-CO"/>
        </w:rPr>
        <w:t>por medio</w:t>
      </w:r>
      <w:r w:rsidRPr="00917A92">
        <w:rPr>
          <w:rFonts w:eastAsia="Times New Roman"/>
          <w:color w:val="000000" w:themeColor="text1"/>
          <w:sz w:val="22"/>
          <w:szCs w:val="22"/>
          <w:lang w:eastAsia="es-CO"/>
        </w:rPr>
        <w:t xml:space="preserve"> de </w:t>
      </w:r>
      <w:r w:rsidR="007245CE">
        <w:rPr>
          <w:rFonts w:eastAsia="Times New Roman"/>
          <w:color w:val="000000" w:themeColor="text1"/>
          <w:sz w:val="22"/>
          <w:szCs w:val="22"/>
          <w:lang w:eastAsia="es-CO"/>
        </w:rPr>
        <w:t xml:space="preserve">la Oficina de </w:t>
      </w:r>
      <w:r w:rsidRPr="00917A92">
        <w:rPr>
          <w:rFonts w:eastAsia="Times New Roman"/>
          <w:color w:val="000000" w:themeColor="text1"/>
          <w:sz w:val="22"/>
          <w:szCs w:val="22"/>
          <w:lang w:eastAsia="es-CO"/>
        </w:rPr>
        <w:t>Gestión de Documentos</w:t>
      </w:r>
      <w:r w:rsidR="00AB6CF0">
        <w:rPr>
          <w:rFonts w:ascii="Georgia" w:eastAsia="Times New Roman" w:hAnsi="Georgia"/>
          <w:color w:val="000000" w:themeColor="text1"/>
          <w:lang w:eastAsia="es-CO"/>
        </w:rPr>
        <w:t xml:space="preserve"> </w:t>
      </w:r>
      <w:r w:rsidR="00AB6CF0" w:rsidRPr="001652FF">
        <w:rPr>
          <w:color w:val="auto"/>
          <w:sz w:val="22"/>
          <w:szCs w:val="22"/>
        </w:rPr>
        <w:t xml:space="preserve">a través del correo electrónico </w:t>
      </w:r>
      <w:hyperlink r:id="rId6" w:history="1">
        <w:r w:rsidR="00AB6CF0" w:rsidRPr="003376E3">
          <w:rPr>
            <w:rStyle w:val="Hipervnculo"/>
            <w:sz w:val="22"/>
            <w:szCs w:val="22"/>
          </w:rPr>
          <w:t>lazos@utp.edu.co</w:t>
        </w:r>
      </w:hyperlink>
    </w:p>
    <w:p w14:paraId="3B8F8657" w14:textId="77777777" w:rsidR="00AB6CF0" w:rsidRPr="00D056C4" w:rsidRDefault="00AB6CF0" w:rsidP="00AB6CF0">
      <w:pPr>
        <w:pStyle w:val="Default"/>
        <w:jc w:val="both"/>
        <w:rPr>
          <w:color w:val="auto"/>
          <w:sz w:val="22"/>
          <w:szCs w:val="22"/>
        </w:rPr>
      </w:pPr>
    </w:p>
    <w:p w14:paraId="4D9EAA71" w14:textId="77777777" w:rsidR="00E4164F" w:rsidRPr="00D056C4" w:rsidRDefault="00E4164F" w:rsidP="00E4164F">
      <w:pPr>
        <w:pStyle w:val="Default"/>
        <w:jc w:val="both"/>
        <w:rPr>
          <w:color w:val="auto"/>
          <w:sz w:val="22"/>
          <w:szCs w:val="22"/>
        </w:rPr>
      </w:pPr>
      <w:r w:rsidRPr="00D056C4">
        <w:rPr>
          <w:b/>
          <w:bCs/>
          <w:color w:val="auto"/>
          <w:sz w:val="22"/>
          <w:szCs w:val="22"/>
        </w:rPr>
        <w:t xml:space="preserve">2. CRITERIOS DE EVALUACIÓN </w:t>
      </w:r>
    </w:p>
    <w:p w14:paraId="5AFD92AE" w14:textId="77777777" w:rsidR="00E4164F" w:rsidRPr="00D056C4" w:rsidRDefault="00E4164F" w:rsidP="00E4164F">
      <w:pPr>
        <w:pStyle w:val="Default"/>
        <w:jc w:val="both"/>
        <w:rPr>
          <w:color w:val="auto"/>
          <w:sz w:val="22"/>
          <w:szCs w:val="22"/>
        </w:rPr>
      </w:pPr>
    </w:p>
    <w:p w14:paraId="4CF1110D" w14:textId="77777777" w:rsidR="00E4164F" w:rsidRPr="00D056C4" w:rsidRDefault="0017440E" w:rsidP="00E4164F">
      <w:pPr>
        <w:pStyle w:val="Default"/>
        <w:jc w:val="both"/>
        <w:rPr>
          <w:color w:val="auto"/>
          <w:sz w:val="22"/>
          <w:szCs w:val="22"/>
        </w:rPr>
      </w:pPr>
      <w:r w:rsidRPr="00D056C4">
        <w:rPr>
          <w:b/>
          <w:bCs/>
          <w:color w:val="auto"/>
          <w:sz w:val="22"/>
          <w:szCs w:val="22"/>
        </w:rPr>
        <w:t>2.1.</w:t>
      </w:r>
      <w:r w:rsidR="00E4164F" w:rsidRPr="00D056C4">
        <w:rPr>
          <w:b/>
          <w:bCs/>
          <w:color w:val="auto"/>
          <w:sz w:val="22"/>
          <w:szCs w:val="22"/>
        </w:rPr>
        <w:t xml:space="preserve"> Criterios de Exclusi</w:t>
      </w:r>
      <w:r w:rsidR="00642AF1" w:rsidRPr="00D056C4">
        <w:rPr>
          <w:b/>
          <w:bCs/>
          <w:color w:val="auto"/>
          <w:sz w:val="22"/>
          <w:szCs w:val="22"/>
        </w:rPr>
        <w:t>ón</w:t>
      </w:r>
      <w:r w:rsidR="00E4164F" w:rsidRPr="00D056C4">
        <w:rPr>
          <w:b/>
          <w:bCs/>
          <w:color w:val="auto"/>
          <w:sz w:val="22"/>
          <w:szCs w:val="22"/>
        </w:rPr>
        <w:t xml:space="preserve"> </w:t>
      </w:r>
    </w:p>
    <w:p w14:paraId="5727F284" w14:textId="77777777" w:rsidR="00E4164F" w:rsidRPr="00D056C4" w:rsidRDefault="00E4164F" w:rsidP="00E4164F">
      <w:pPr>
        <w:pStyle w:val="Default"/>
        <w:jc w:val="both"/>
        <w:rPr>
          <w:color w:val="auto"/>
          <w:sz w:val="22"/>
          <w:szCs w:val="22"/>
        </w:rPr>
      </w:pPr>
    </w:p>
    <w:p w14:paraId="328FA724" w14:textId="77777777" w:rsidR="00E4164F" w:rsidRPr="00D056C4" w:rsidRDefault="00E4164F" w:rsidP="00E4164F">
      <w:pPr>
        <w:pStyle w:val="Default"/>
        <w:spacing w:after="5"/>
        <w:jc w:val="both"/>
        <w:rPr>
          <w:color w:val="auto"/>
          <w:sz w:val="22"/>
          <w:szCs w:val="22"/>
        </w:rPr>
      </w:pPr>
      <w:r w:rsidRPr="00D056C4">
        <w:rPr>
          <w:rFonts w:ascii="Wingdings" w:hAnsi="Wingdings" w:cs="Wingdings"/>
          <w:color w:val="auto"/>
          <w:sz w:val="22"/>
          <w:szCs w:val="22"/>
        </w:rPr>
        <w:t></w:t>
      </w:r>
      <w:r w:rsidR="008A5F6E" w:rsidRPr="00D056C4">
        <w:rPr>
          <w:rFonts w:ascii="Wingdings" w:hAnsi="Wingdings" w:cs="Wingdings"/>
          <w:color w:val="auto"/>
          <w:sz w:val="22"/>
          <w:szCs w:val="22"/>
        </w:rPr>
        <w:t></w:t>
      </w:r>
      <w:r w:rsidRPr="00D056C4">
        <w:rPr>
          <w:color w:val="auto"/>
          <w:sz w:val="22"/>
          <w:szCs w:val="22"/>
        </w:rPr>
        <w:t>Incumplimiento de los requisitos mínimos</w:t>
      </w:r>
    </w:p>
    <w:p w14:paraId="4C0BED37" w14:textId="77777777" w:rsidR="000D39F9" w:rsidRPr="00D056C4" w:rsidRDefault="000D39F9" w:rsidP="00E4164F">
      <w:pPr>
        <w:pStyle w:val="Default"/>
        <w:jc w:val="both"/>
        <w:rPr>
          <w:color w:val="auto"/>
          <w:sz w:val="22"/>
          <w:szCs w:val="22"/>
        </w:rPr>
      </w:pPr>
    </w:p>
    <w:p w14:paraId="0098285B" w14:textId="77777777" w:rsidR="004C1990" w:rsidRPr="00D056C4" w:rsidRDefault="004C1990" w:rsidP="00E4164F">
      <w:pPr>
        <w:pStyle w:val="Default"/>
        <w:jc w:val="both"/>
        <w:rPr>
          <w:color w:val="auto"/>
          <w:sz w:val="22"/>
          <w:szCs w:val="22"/>
        </w:rPr>
      </w:pPr>
    </w:p>
    <w:p w14:paraId="6850E893" w14:textId="77777777" w:rsidR="004C1990" w:rsidRDefault="0017440E" w:rsidP="00E4164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56C4">
        <w:rPr>
          <w:b/>
          <w:bCs/>
          <w:color w:val="auto"/>
          <w:sz w:val="22"/>
          <w:szCs w:val="22"/>
        </w:rPr>
        <w:t>2.2.</w:t>
      </w:r>
      <w:r w:rsidR="004C1990" w:rsidRPr="00D056C4">
        <w:rPr>
          <w:b/>
          <w:bCs/>
          <w:color w:val="auto"/>
          <w:sz w:val="22"/>
          <w:szCs w:val="22"/>
        </w:rPr>
        <w:t xml:space="preserve"> Criterios de evaluación y Selección</w:t>
      </w:r>
    </w:p>
    <w:p w14:paraId="02F72E1E" w14:textId="77777777" w:rsidR="00D516A5" w:rsidRDefault="00D516A5" w:rsidP="00E4164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FB0E440" w14:textId="77777777" w:rsidR="00D516A5" w:rsidRPr="00D056C4" w:rsidRDefault="00D516A5" w:rsidP="00D516A5">
      <w:pPr>
        <w:pStyle w:val="Default"/>
        <w:numPr>
          <w:ilvl w:val="0"/>
          <w:numId w:val="6"/>
        </w:numPr>
        <w:jc w:val="both"/>
        <w:rPr>
          <w:b/>
          <w:bCs/>
          <w:color w:val="auto"/>
          <w:sz w:val="22"/>
          <w:szCs w:val="22"/>
        </w:rPr>
      </w:pPr>
      <w:r w:rsidRPr="0013629F">
        <w:rPr>
          <w:color w:val="000000" w:themeColor="text1"/>
          <w:sz w:val="22"/>
          <w:szCs w:val="22"/>
        </w:rPr>
        <w:t>Resultados evaluaciones externas de pares (Promedio)</w:t>
      </w:r>
    </w:p>
    <w:p w14:paraId="203163AA" w14:textId="77777777" w:rsidR="004C1990" w:rsidRPr="00D056C4" w:rsidRDefault="004C1990" w:rsidP="00E4164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1C93744" w14:textId="77777777" w:rsidR="00E155C4" w:rsidRPr="0013629F" w:rsidRDefault="008A5F6E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  <w:r w:rsidRPr="0013629F">
        <w:rPr>
          <w:rFonts w:ascii="Arial" w:eastAsia="Times New Roman" w:hAnsi="Arial" w:cs="Arial"/>
          <w:b/>
          <w:bCs/>
          <w:iCs/>
          <w:color w:val="000000" w:themeColor="text1"/>
          <w:lang w:eastAsia="es-CO"/>
        </w:rPr>
        <w:t>Nota 1</w:t>
      </w:r>
      <w:r w:rsidRPr="0013629F">
        <w:rPr>
          <w:rFonts w:ascii="Arial" w:eastAsia="Times New Roman" w:hAnsi="Arial" w:cs="Arial"/>
          <w:iCs/>
          <w:color w:val="000000" w:themeColor="text1"/>
          <w:lang w:eastAsia="es-CO"/>
        </w:rPr>
        <w:t>:</w:t>
      </w:r>
      <w:r w:rsidRPr="0013629F">
        <w:rPr>
          <w:rFonts w:ascii="Arial" w:eastAsia="Times New Roman" w:hAnsi="Arial" w:cs="Arial"/>
          <w:iCs/>
          <w:color w:val="000000" w:themeColor="text1"/>
          <w:lang w:val="es-ES_tradnl" w:eastAsia="es-CO"/>
        </w:rPr>
        <w:t xml:space="preserve"> El Comité editorial aprobará una</w:t>
      </w:r>
      <w:r w:rsidRPr="0013629F">
        <w:rPr>
          <w:rFonts w:ascii="Arial" w:eastAsia="Times New Roman" w:hAnsi="Arial" w:cs="Arial"/>
          <w:iCs/>
          <w:color w:val="000000" w:themeColor="text1"/>
          <w:lang w:eastAsia="es-CO"/>
        </w:rPr>
        <w:t xml:space="preserve"> lista de banco de elegibles según puntuación final y organizada de mayor a menor. Los libros a financiar quedarán sujetos a la disponibilidad presupuestal de la Vicerrectoría de Investigaciones, Innovación y Extensión. </w:t>
      </w:r>
    </w:p>
    <w:p w14:paraId="3F5A029F" w14:textId="55E308B7" w:rsidR="008A5F6E" w:rsidRPr="0013629F" w:rsidRDefault="008A5F6E" w:rsidP="001A3A1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CO"/>
        </w:rPr>
      </w:pPr>
      <w:r w:rsidRPr="0013629F">
        <w:rPr>
          <w:rFonts w:ascii="Arial" w:eastAsia="Times New Roman" w:hAnsi="Arial" w:cs="Arial"/>
          <w:iCs/>
          <w:color w:val="000000" w:themeColor="text1"/>
          <w:lang w:eastAsia="es-CO"/>
        </w:rPr>
        <w:t>El banco de elegibles tendrá vigencia únicamente de un año, por lo cual, los libros que no puedan ser financiados dur</w:t>
      </w:r>
      <w:r w:rsidR="00927959">
        <w:rPr>
          <w:rFonts w:ascii="Arial" w:eastAsia="Times New Roman" w:hAnsi="Arial" w:cs="Arial"/>
          <w:iCs/>
          <w:color w:val="000000" w:themeColor="text1"/>
          <w:lang w:eastAsia="es-CO"/>
        </w:rPr>
        <w:t>ante la vigencia fiscal del 202</w:t>
      </w:r>
      <w:r w:rsidR="00811E3B">
        <w:rPr>
          <w:rFonts w:ascii="Arial" w:eastAsia="Times New Roman" w:hAnsi="Arial" w:cs="Arial"/>
          <w:iCs/>
          <w:color w:val="000000" w:themeColor="text1"/>
          <w:lang w:eastAsia="es-CO"/>
        </w:rPr>
        <w:t>1</w:t>
      </w:r>
      <w:r w:rsidRPr="0013629F">
        <w:rPr>
          <w:rFonts w:ascii="Arial" w:eastAsia="Times New Roman" w:hAnsi="Arial" w:cs="Arial"/>
          <w:iCs/>
          <w:color w:val="000000" w:themeColor="text1"/>
          <w:lang w:eastAsia="es-CO"/>
        </w:rPr>
        <w:t xml:space="preserve"> podrán participar en futuras convocatorias.</w:t>
      </w:r>
      <w:bookmarkStart w:id="0" w:name="_GoBack"/>
      <w:bookmarkEnd w:id="0"/>
    </w:p>
    <w:p w14:paraId="7B235C35" w14:textId="77777777" w:rsidR="008A5F6E" w:rsidRPr="0013629F" w:rsidRDefault="008A5F6E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</w:p>
    <w:p w14:paraId="16956447" w14:textId="77777777" w:rsidR="008A5F6E" w:rsidRDefault="008A5F6E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  <w:r w:rsidRPr="0013629F">
        <w:rPr>
          <w:rFonts w:ascii="Arial" w:eastAsia="Times New Roman" w:hAnsi="Arial" w:cs="Arial"/>
          <w:b/>
          <w:bCs/>
          <w:iCs/>
          <w:color w:val="000000" w:themeColor="text1"/>
          <w:lang w:eastAsia="es-CO"/>
        </w:rPr>
        <w:t>Nota 2</w:t>
      </w:r>
      <w:r w:rsidRPr="0013629F">
        <w:rPr>
          <w:rFonts w:ascii="Arial" w:eastAsia="Times New Roman" w:hAnsi="Arial" w:cs="Arial"/>
          <w:iCs/>
          <w:color w:val="000000" w:themeColor="text1"/>
          <w:lang w:eastAsia="es-CO"/>
        </w:rPr>
        <w:t xml:space="preserve">: La recepción de un </w:t>
      </w:r>
      <w:r w:rsidR="001A3A18" w:rsidRPr="0013629F">
        <w:rPr>
          <w:rFonts w:ascii="Arial" w:eastAsia="Times New Roman" w:hAnsi="Arial" w:cs="Arial"/>
          <w:iCs/>
          <w:color w:val="000000" w:themeColor="text1"/>
          <w:lang w:eastAsia="es-CO"/>
        </w:rPr>
        <w:t>trabajo</w:t>
      </w:r>
      <w:r w:rsidRPr="0013629F">
        <w:rPr>
          <w:rFonts w:ascii="Arial" w:eastAsia="Times New Roman" w:hAnsi="Arial" w:cs="Arial"/>
          <w:iCs/>
          <w:color w:val="000000" w:themeColor="text1"/>
          <w:lang w:eastAsia="es-CO"/>
        </w:rPr>
        <w:t xml:space="preserve"> no implica obligatoriedad ni compromiso alguno para la Universidad de asignar recursos, ni genera derecho a recibir apoyos económicos para quienes se hayan presentado en esta convocatoria.</w:t>
      </w:r>
    </w:p>
    <w:p w14:paraId="7C34B78E" w14:textId="77777777" w:rsidR="00D516A5" w:rsidRDefault="00D516A5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</w:p>
    <w:p w14:paraId="0D72B288" w14:textId="77777777" w:rsidR="00D516A5" w:rsidRDefault="00D516A5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</w:p>
    <w:p w14:paraId="0437CD46" w14:textId="77777777" w:rsidR="000B7131" w:rsidRDefault="000B7131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</w:p>
    <w:p w14:paraId="6BCA9CF1" w14:textId="77777777" w:rsidR="000B7131" w:rsidRDefault="000B7131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</w:p>
    <w:p w14:paraId="56F3B153" w14:textId="77777777" w:rsidR="000B7131" w:rsidRDefault="000B7131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</w:p>
    <w:p w14:paraId="5DE6AD05" w14:textId="77777777" w:rsidR="00D516A5" w:rsidRDefault="00D516A5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</w:p>
    <w:p w14:paraId="758879EC" w14:textId="77777777" w:rsidR="00D516A5" w:rsidRPr="0013629F" w:rsidRDefault="00D516A5" w:rsidP="001A3A18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es-CO"/>
        </w:rPr>
      </w:pPr>
    </w:p>
    <w:p w14:paraId="0FBA3C29" w14:textId="77777777" w:rsidR="004C1990" w:rsidRPr="0013629F" w:rsidRDefault="004C1990" w:rsidP="00E4164F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14:paraId="76A2BA3F" w14:textId="77777777" w:rsidR="008B231E" w:rsidRPr="0088208E" w:rsidRDefault="008B231E" w:rsidP="008B231E">
      <w:pPr>
        <w:pStyle w:val="Default"/>
        <w:rPr>
          <w:b/>
          <w:bCs/>
          <w:color w:val="000000" w:themeColor="text1"/>
          <w:sz w:val="22"/>
          <w:szCs w:val="22"/>
        </w:rPr>
      </w:pPr>
      <w:r w:rsidRPr="0088208E">
        <w:rPr>
          <w:b/>
          <w:bCs/>
          <w:color w:val="000000" w:themeColor="text1"/>
          <w:sz w:val="22"/>
          <w:szCs w:val="22"/>
        </w:rPr>
        <w:t xml:space="preserve">3. CRONOGRAMA: </w:t>
      </w:r>
    </w:p>
    <w:p w14:paraId="5BCFFC6B" w14:textId="77777777" w:rsidR="008B231E" w:rsidRPr="0013629F" w:rsidRDefault="008B231E" w:rsidP="008B231E">
      <w:pPr>
        <w:pStyle w:val="Default"/>
        <w:rPr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9517" w:type="dxa"/>
        <w:tblInd w:w="-5" w:type="dxa"/>
        <w:tblLook w:val="04A0" w:firstRow="1" w:lastRow="0" w:firstColumn="1" w:lastColumn="0" w:noHBand="0" w:noVBand="1"/>
      </w:tblPr>
      <w:tblGrid>
        <w:gridCol w:w="5028"/>
        <w:gridCol w:w="4489"/>
      </w:tblGrid>
      <w:tr w:rsidR="00143BB9" w:rsidRPr="0013629F" w14:paraId="6F2A107D" w14:textId="77777777" w:rsidTr="008C040F">
        <w:tc>
          <w:tcPr>
            <w:tcW w:w="5028" w:type="dxa"/>
          </w:tcPr>
          <w:p w14:paraId="344D5FB4" w14:textId="77777777" w:rsidR="00143BB9" w:rsidRPr="00E8067E" w:rsidRDefault="00143BB9" w:rsidP="008C040F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8067E">
              <w:rPr>
                <w:b/>
                <w:color w:val="000000" w:themeColor="text1"/>
                <w:sz w:val="22"/>
                <w:szCs w:val="22"/>
              </w:rPr>
              <w:t>ACTIVIDAD</w:t>
            </w:r>
          </w:p>
        </w:tc>
        <w:tc>
          <w:tcPr>
            <w:tcW w:w="4489" w:type="dxa"/>
          </w:tcPr>
          <w:p w14:paraId="175D3E41" w14:textId="77777777" w:rsidR="00143BB9" w:rsidRPr="00E8067E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8067E">
              <w:rPr>
                <w:b/>
                <w:bCs/>
                <w:color w:val="000000" w:themeColor="text1"/>
                <w:sz w:val="22"/>
                <w:szCs w:val="22"/>
              </w:rPr>
              <w:t>FECHA</w:t>
            </w:r>
          </w:p>
        </w:tc>
      </w:tr>
      <w:tr w:rsidR="00143BB9" w:rsidRPr="0013629F" w14:paraId="650F1BA8" w14:textId="77777777" w:rsidTr="008C040F">
        <w:tc>
          <w:tcPr>
            <w:tcW w:w="5028" w:type="dxa"/>
          </w:tcPr>
          <w:p w14:paraId="3BC77330" w14:textId="77777777" w:rsidR="00143BB9" w:rsidRPr="0013629F" w:rsidRDefault="00143BB9" w:rsidP="008C040F">
            <w:pPr>
              <w:pStyle w:val="Default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3629F">
              <w:rPr>
                <w:color w:val="000000" w:themeColor="text1"/>
                <w:sz w:val="22"/>
                <w:szCs w:val="22"/>
              </w:rPr>
              <w:t xml:space="preserve">Aprobación </w:t>
            </w:r>
            <w:r>
              <w:rPr>
                <w:color w:val="000000" w:themeColor="text1"/>
                <w:sz w:val="22"/>
                <w:szCs w:val="22"/>
              </w:rPr>
              <w:t xml:space="preserve">de </w:t>
            </w:r>
            <w:r w:rsidRPr="0013629F">
              <w:rPr>
                <w:color w:val="000000" w:themeColor="text1"/>
                <w:sz w:val="22"/>
                <w:szCs w:val="22"/>
              </w:rPr>
              <w:t>criterios de la convocatoria por el Comité Editorial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89" w:type="dxa"/>
          </w:tcPr>
          <w:p w14:paraId="6D9AC1F1" w14:textId="77777777" w:rsidR="00143BB9" w:rsidRPr="0013629F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Febrero 11  de 2021</w:t>
            </w:r>
          </w:p>
        </w:tc>
      </w:tr>
      <w:tr w:rsidR="00143BB9" w:rsidRPr="0013629F" w14:paraId="55BD2538" w14:textId="77777777" w:rsidTr="008C040F">
        <w:tc>
          <w:tcPr>
            <w:tcW w:w="5028" w:type="dxa"/>
          </w:tcPr>
          <w:p w14:paraId="0FA4E575" w14:textId="77777777" w:rsidR="00143BB9" w:rsidRPr="0013629F" w:rsidRDefault="00143BB9" w:rsidP="008C040F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3629F">
              <w:rPr>
                <w:color w:val="000000" w:themeColor="text1"/>
                <w:sz w:val="22"/>
                <w:szCs w:val="22"/>
              </w:rPr>
              <w:t xml:space="preserve">Aprobación </w:t>
            </w:r>
            <w:r>
              <w:rPr>
                <w:color w:val="000000" w:themeColor="text1"/>
                <w:sz w:val="22"/>
                <w:szCs w:val="22"/>
              </w:rPr>
              <w:t xml:space="preserve">de </w:t>
            </w:r>
            <w:r w:rsidRPr="0013629F">
              <w:rPr>
                <w:color w:val="000000" w:themeColor="text1"/>
                <w:sz w:val="22"/>
                <w:szCs w:val="22"/>
              </w:rPr>
              <w:t xml:space="preserve">criterios de la convocatoria por el </w:t>
            </w:r>
            <w:r>
              <w:rPr>
                <w:color w:val="000000" w:themeColor="text1"/>
                <w:sz w:val="22"/>
                <w:szCs w:val="22"/>
              </w:rPr>
              <w:t xml:space="preserve">Consejo Académico. </w:t>
            </w:r>
          </w:p>
        </w:tc>
        <w:tc>
          <w:tcPr>
            <w:tcW w:w="4489" w:type="dxa"/>
          </w:tcPr>
          <w:p w14:paraId="440382C9" w14:textId="77777777" w:rsidR="00143BB9" w:rsidRPr="0013629F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Febrero 17 de 2021</w:t>
            </w:r>
          </w:p>
        </w:tc>
      </w:tr>
      <w:tr w:rsidR="00143BB9" w:rsidRPr="0013629F" w14:paraId="35AE14FF" w14:textId="77777777" w:rsidTr="008C040F">
        <w:tc>
          <w:tcPr>
            <w:tcW w:w="5028" w:type="dxa"/>
          </w:tcPr>
          <w:p w14:paraId="5449CB21" w14:textId="77777777" w:rsidR="00143BB9" w:rsidRPr="0013629F" w:rsidRDefault="00143BB9" w:rsidP="008C040F">
            <w:pPr>
              <w:pStyle w:val="Default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3629F">
              <w:rPr>
                <w:color w:val="000000" w:themeColor="text1"/>
                <w:sz w:val="22"/>
                <w:szCs w:val="22"/>
              </w:rPr>
              <w:t>Apertura de la Convocatoria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89" w:type="dxa"/>
          </w:tcPr>
          <w:p w14:paraId="2E029F82" w14:textId="77777777" w:rsidR="00143BB9" w:rsidRPr="0013629F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Febrero 26  de 2021</w:t>
            </w:r>
          </w:p>
        </w:tc>
      </w:tr>
      <w:tr w:rsidR="00143BB9" w:rsidRPr="0013629F" w14:paraId="002B239F" w14:textId="77777777" w:rsidTr="008C040F">
        <w:tc>
          <w:tcPr>
            <w:tcW w:w="5028" w:type="dxa"/>
          </w:tcPr>
          <w:p w14:paraId="72683B26" w14:textId="77777777" w:rsidR="00143BB9" w:rsidRPr="0013629F" w:rsidRDefault="00143BB9" w:rsidP="008C040F">
            <w:pPr>
              <w:pStyle w:val="Default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Fecha hasta la que se recibirán trabajos </w:t>
            </w:r>
            <w:r w:rsidRPr="00AB6CF0">
              <w:rPr>
                <w:color w:val="FF0000"/>
                <w:sz w:val="22"/>
                <w:szCs w:val="22"/>
              </w:rPr>
              <w:t>(con el aval del Consejo de Facultad y la evaluación interna)</w:t>
            </w:r>
            <w:r>
              <w:rPr>
                <w:color w:val="FF0000"/>
                <w:sz w:val="22"/>
                <w:szCs w:val="22"/>
              </w:rPr>
              <w:t>.</w:t>
            </w:r>
            <w:r w:rsidRPr="00AB6CF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</w:tcPr>
          <w:p w14:paraId="23B209B5" w14:textId="77777777" w:rsidR="00143BB9" w:rsidRPr="0013629F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Mayo 14 de 2021</w:t>
            </w:r>
          </w:p>
        </w:tc>
      </w:tr>
      <w:tr w:rsidR="00143BB9" w:rsidRPr="0013629F" w14:paraId="33E379F1" w14:textId="77777777" w:rsidTr="008C040F">
        <w:tc>
          <w:tcPr>
            <w:tcW w:w="5028" w:type="dxa"/>
          </w:tcPr>
          <w:p w14:paraId="12024D73" w14:textId="77777777" w:rsidR="00143BB9" w:rsidRPr="0013629F" w:rsidRDefault="00143BB9" w:rsidP="008C040F">
            <w:pPr>
              <w:pStyle w:val="Default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3629F">
              <w:rPr>
                <w:color w:val="000000" w:themeColor="text1"/>
                <w:sz w:val="22"/>
                <w:szCs w:val="22"/>
              </w:rPr>
              <w:t>Publicación de resultados de los trabajos  que cumplieron con los requisitos mínimos</w:t>
            </w:r>
          </w:p>
        </w:tc>
        <w:tc>
          <w:tcPr>
            <w:tcW w:w="4489" w:type="dxa"/>
          </w:tcPr>
          <w:p w14:paraId="7D620194" w14:textId="77777777" w:rsidR="00143BB9" w:rsidRPr="0013629F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Mayo 28 de 2021</w:t>
            </w:r>
          </w:p>
        </w:tc>
      </w:tr>
      <w:tr w:rsidR="00143BB9" w:rsidRPr="0013629F" w14:paraId="44F284BB" w14:textId="77777777" w:rsidTr="008C040F">
        <w:tc>
          <w:tcPr>
            <w:tcW w:w="5028" w:type="dxa"/>
          </w:tcPr>
          <w:p w14:paraId="38C9E340" w14:textId="77777777" w:rsidR="00143BB9" w:rsidRPr="0013629F" w:rsidRDefault="00143BB9" w:rsidP="008C040F">
            <w:pPr>
              <w:pStyle w:val="Default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73275">
              <w:rPr>
                <w:color w:val="000000" w:themeColor="text1"/>
                <w:sz w:val="22"/>
                <w:szCs w:val="22"/>
              </w:rPr>
              <w:t xml:space="preserve">Consultas y </w:t>
            </w:r>
            <w:r w:rsidRPr="00A73275">
              <w:rPr>
                <w:bCs/>
                <w:color w:val="000000" w:themeColor="text1"/>
                <w:sz w:val="22"/>
                <w:szCs w:val="22"/>
              </w:rPr>
              <w:t>aclaración de inquietudes sobre resultados publicados</w:t>
            </w:r>
            <w:r w:rsidRPr="00A73275">
              <w:rPr>
                <w:color w:val="000000" w:themeColor="text1"/>
                <w:sz w:val="22"/>
                <w:szCs w:val="22"/>
              </w:rPr>
              <w:t xml:space="preserve"> de los trabajos  que cumplieron con los requisitos mínimos – enviar </w:t>
            </w:r>
            <w:r>
              <w:rPr>
                <w:color w:val="000000" w:themeColor="text1"/>
                <w:sz w:val="22"/>
                <w:szCs w:val="22"/>
              </w:rPr>
              <w:t xml:space="preserve">solicitud </w:t>
            </w:r>
            <w:r w:rsidRPr="00A73275">
              <w:rPr>
                <w:color w:val="000000" w:themeColor="text1"/>
                <w:sz w:val="22"/>
                <w:szCs w:val="22"/>
              </w:rPr>
              <w:t>al correo electrónico (luismvargas@utp.edu.co)</w:t>
            </w:r>
          </w:p>
        </w:tc>
        <w:tc>
          <w:tcPr>
            <w:tcW w:w="4489" w:type="dxa"/>
          </w:tcPr>
          <w:p w14:paraId="341FD9C7" w14:textId="77777777" w:rsidR="00143BB9" w:rsidRPr="0013629F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Junio 1 y 2 de 2021</w:t>
            </w:r>
          </w:p>
        </w:tc>
      </w:tr>
      <w:tr w:rsidR="00143BB9" w:rsidRPr="0013629F" w14:paraId="49215AFF" w14:textId="77777777" w:rsidTr="008C040F">
        <w:tc>
          <w:tcPr>
            <w:tcW w:w="5028" w:type="dxa"/>
          </w:tcPr>
          <w:p w14:paraId="26DAC0D1" w14:textId="77777777" w:rsidR="00143BB9" w:rsidRPr="0013629F" w:rsidRDefault="00143BB9" w:rsidP="008C040F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Tiempo para la e</w:t>
            </w:r>
            <w:r w:rsidRPr="0013629F">
              <w:rPr>
                <w:bCs/>
                <w:color w:val="000000" w:themeColor="text1"/>
                <w:sz w:val="22"/>
                <w:szCs w:val="22"/>
              </w:rPr>
              <w:t>valuación de pares externos</w:t>
            </w:r>
          </w:p>
        </w:tc>
        <w:tc>
          <w:tcPr>
            <w:tcW w:w="4489" w:type="dxa"/>
          </w:tcPr>
          <w:p w14:paraId="3123E552" w14:textId="77777777" w:rsidR="00143BB9" w:rsidRPr="0013629F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Junio 2  a Julio 16 de 2021</w:t>
            </w:r>
          </w:p>
        </w:tc>
      </w:tr>
      <w:tr w:rsidR="00143BB9" w:rsidRPr="0013629F" w14:paraId="32FB4BFB" w14:textId="77777777" w:rsidTr="008C040F">
        <w:tc>
          <w:tcPr>
            <w:tcW w:w="5028" w:type="dxa"/>
          </w:tcPr>
          <w:p w14:paraId="1FACCB2B" w14:textId="77777777" w:rsidR="00143BB9" w:rsidRPr="0013629F" w:rsidRDefault="00143BB9" w:rsidP="008C040F">
            <w:pPr>
              <w:pStyle w:val="Default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Revisión de resultados por Comité Editorial</w:t>
            </w:r>
          </w:p>
        </w:tc>
        <w:tc>
          <w:tcPr>
            <w:tcW w:w="4489" w:type="dxa"/>
          </w:tcPr>
          <w:p w14:paraId="42FB04FE" w14:textId="77777777" w:rsidR="00143BB9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Julio 29 de 2021</w:t>
            </w:r>
          </w:p>
        </w:tc>
      </w:tr>
      <w:tr w:rsidR="00143BB9" w:rsidRPr="0013629F" w14:paraId="065FE92D" w14:textId="77777777" w:rsidTr="008C040F">
        <w:tc>
          <w:tcPr>
            <w:tcW w:w="5028" w:type="dxa"/>
          </w:tcPr>
          <w:p w14:paraId="6D9EAF80" w14:textId="77777777" w:rsidR="00143BB9" w:rsidRPr="0013629F" w:rsidRDefault="00143BB9" w:rsidP="008C040F">
            <w:pPr>
              <w:pStyle w:val="Default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3629F">
              <w:rPr>
                <w:color w:val="000000" w:themeColor="text1"/>
                <w:sz w:val="22"/>
                <w:szCs w:val="22"/>
              </w:rPr>
              <w:t>Pu</w:t>
            </w:r>
            <w:r>
              <w:rPr>
                <w:color w:val="000000" w:themeColor="text1"/>
                <w:sz w:val="22"/>
                <w:szCs w:val="22"/>
              </w:rPr>
              <w:t>blicación de resultados finales</w:t>
            </w:r>
          </w:p>
        </w:tc>
        <w:tc>
          <w:tcPr>
            <w:tcW w:w="4489" w:type="dxa"/>
          </w:tcPr>
          <w:p w14:paraId="7BBFC119" w14:textId="77777777" w:rsidR="00143BB9" w:rsidRPr="0013629F" w:rsidRDefault="00143BB9" w:rsidP="008C040F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Agosto 4 de 2021</w:t>
            </w:r>
          </w:p>
        </w:tc>
      </w:tr>
    </w:tbl>
    <w:p w14:paraId="4D67BBE5" w14:textId="77777777" w:rsidR="008B231E" w:rsidRPr="0013629F" w:rsidRDefault="008B231E" w:rsidP="008B231E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1FA01589" w14:textId="77777777" w:rsidR="008B231E" w:rsidRDefault="008B231E" w:rsidP="008B231E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5B66FE56" w14:textId="77777777" w:rsidR="0018633E" w:rsidRPr="0013629F" w:rsidRDefault="0018633E" w:rsidP="0018633E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193813B8" w14:textId="77777777" w:rsidR="00337F8A" w:rsidRPr="0013629F" w:rsidRDefault="00337F8A" w:rsidP="00E84953">
      <w:pPr>
        <w:pStyle w:val="Default"/>
        <w:rPr>
          <w:rFonts w:eastAsia="Times New Roman"/>
          <w:b/>
          <w:color w:val="000000" w:themeColor="text1"/>
          <w:sz w:val="22"/>
          <w:szCs w:val="22"/>
          <w:lang w:eastAsia="es-CO"/>
        </w:rPr>
      </w:pPr>
      <w:r w:rsidRPr="0013629F">
        <w:rPr>
          <w:rFonts w:eastAsia="Times New Roman"/>
          <w:b/>
          <w:color w:val="000000" w:themeColor="text1"/>
          <w:sz w:val="22"/>
          <w:szCs w:val="22"/>
          <w:lang w:eastAsia="es-CO"/>
        </w:rPr>
        <w:t>4. ANEXOS</w:t>
      </w:r>
    </w:p>
    <w:p w14:paraId="17593198" w14:textId="77777777" w:rsidR="001A0806" w:rsidRPr="0013629F" w:rsidRDefault="000E114F" w:rsidP="00E84953">
      <w:pPr>
        <w:pStyle w:val="Default"/>
        <w:rPr>
          <w:rFonts w:eastAsia="Times New Roman"/>
          <w:color w:val="000000" w:themeColor="text1"/>
          <w:sz w:val="22"/>
          <w:szCs w:val="22"/>
          <w:lang w:eastAsia="es-CO"/>
        </w:rPr>
      </w:pPr>
      <w:r w:rsidRPr="0013629F">
        <w:rPr>
          <w:rFonts w:eastAsia="Times New Roman"/>
          <w:color w:val="000000" w:themeColor="text1"/>
          <w:sz w:val="22"/>
          <w:szCs w:val="22"/>
          <w:lang w:eastAsia="es-CO"/>
        </w:rPr>
        <w:t xml:space="preserve">Anexo 1. </w:t>
      </w:r>
      <w:r w:rsidR="00337F8A" w:rsidRPr="0013629F">
        <w:rPr>
          <w:rFonts w:eastAsia="Times New Roman"/>
          <w:color w:val="000000" w:themeColor="text1"/>
          <w:sz w:val="22"/>
          <w:szCs w:val="22"/>
          <w:lang w:eastAsia="es-CO"/>
        </w:rPr>
        <w:t>Carta de intención</w:t>
      </w:r>
    </w:p>
    <w:p w14:paraId="53D04D17" w14:textId="77777777" w:rsidR="00E638CA" w:rsidRPr="0013629F" w:rsidRDefault="00921024" w:rsidP="00E84953">
      <w:pPr>
        <w:pStyle w:val="Default"/>
        <w:rPr>
          <w:rFonts w:eastAsia="Times New Roman"/>
          <w:color w:val="000000" w:themeColor="text1"/>
          <w:sz w:val="22"/>
          <w:szCs w:val="22"/>
          <w:lang w:eastAsia="es-CO"/>
        </w:rPr>
      </w:pPr>
      <w:r w:rsidRPr="0013629F">
        <w:rPr>
          <w:color w:val="000000" w:themeColor="text1"/>
          <w:sz w:val="22"/>
          <w:szCs w:val="22"/>
        </w:rPr>
        <w:t xml:space="preserve">Anexo 4.  Manual de Lineamientos de la Editorial UTP </w:t>
      </w:r>
    </w:p>
    <w:p w14:paraId="792A4005" w14:textId="77777777" w:rsidR="00E638CA" w:rsidRPr="0013629F" w:rsidRDefault="00E638CA" w:rsidP="00E84953">
      <w:pPr>
        <w:pStyle w:val="Default"/>
        <w:rPr>
          <w:bCs/>
          <w:color w:val="000000" w:themeColor="text1"/>
          <w:sz w:val="22"/>
          <w:szCs w:val="22"/>
        </w:rPr>
      </w:pPr>
    </w:p>
    <w:sectPr w:rsidR="00E638CA" w:rsidRPr="00136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CA6"/>
    <w:multiLevelType w:val="multilevel"/>
    <w:tmpl w:val="D5025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52B3CCC"/>
    <w:multiLevelType w:val="multilevel"/>
    <w:tmpl w:val="183871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1627047"/>
    <w:multiLevelType w:val="multilevel"/>
    <w:tmpl w:val="584CD1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5EAE71CC"/>
    <w:multiLevelType w:val="multilevel"/>
    <w:tmpl w:val="079EB8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94C21EC"/>
    <w:multiLevelType w:val="multilevel"/>
    <w:tmpl w:val="127467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7CC90D1A"/>
    <w:multiLevelType w:val="hybridMultilevel"/>
    <w:tmpl w:val="7B0CEF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F"/>
    <w:rsid w:val="000379BD"/>
    <w:rsid w:val="000461F4"/>
    <w:rsid w:val="00050D22"/>
    <w:rsid w:val="0006181F"/>
    <w:rsid w:val="00067E2E"/>
    <w:rsid w:val="0008271F"/>
    <w:rsid w:val="00085F8A"/>
    <w:rsid w:val="000A2A77"/>
    <w:rsid w:val="000B6195"/>
    <w:rsid w:val="000B7131"/>
    <w:rsid w:val="000C546B"/>
    <w:rsid w:val="000D2BF6"/>
    <w:rsid w:val="000D34B2"/>
    <w:rsid w:val="000D39F9"/>
    <w:rsid w:val="000D3FD9"/>
    <w:rsid w:val="000D6C28"/>
    <w:rsid w:val="000D6F53"/>
    <w:rsid w:val="000E114F"/>
    <w:rsid w:val="00110ECF"/>
    <w:rsid w:val="00133A79"/>
    <w:rsid w:val="0013629F"/>
    <w:rsid w:val="00143309"/>
    <w:rsid w:val="00143BB9"/>
    <w:rsid w:val="00157B52"/>
    <w:rsid w:val="001652FF"/>
    <w:rsid w:val="0017440E"/>
    <w:rsid w:val="0018633E"/>
    <w:rsid w:val="001A009B"/>
    <w:rsid w:val="001A0806"/>
    <w:rsid w:val="001A3A18"/>
    <w:rsid w:val="001C01C9"/>
    <w:rsid w:val="001C5E96"/>
    <w:rsid w:val="001E0EB3"/>
    <w:rsid w:val="001E5142"/>
    <w:rsid w:val="001E5B98"/>
    <w:rsid w:val="0020748B"/>
    <w:rsid w:val="002163F2"/>
    <w:rsid w:val="0022355C"/>
    <w:rsid w:val="002244E0"/>
    <w:rsid w:val="00230073"/>
    <w:rsid w:val="0024014C"/>
    <w:rsid w:val="00242F71"/>
    <w:rsid w:val="00275AE1"/>
    <w:rsid w:val="0028225D"/>
    <w:rsid w:val="002840FD"/>
    <w:rsid w:val="002846B6"/>
    <w:rsid w:val="002A476C"/>
    <w:rsid w:val="002A77D4"/>
    <w:rsid w:val="00304242"/>
    <w:rsid w:val="00316131"/>
    <w:rsid w:val="00317372"/>
    <w:rsid w:val="00337127"/>
    <w:rsid w:val="00337F8A"/>
    <w:rsid w:val="003525A1"/>
    <w:rsid w:val="003537C5"/>
    <w:rsid w:val="00366321"/>
    <w:rsid w:val="00386198"/>
    <w:rsid w:val="00391E6C"/>
    <w:rsid w:val="003B3D5F"/>
    <w:rsid w:val="003B5C08"/>
    <w:rsid w:val="003B6B56"/>
    <w:rsid w:val="003E430A"/>
    <w:rsid w:val="003F775E"/>
    <w:rsid w:val="0041405F"/>
    <w:rsid w:val="00415C4C"/>
    <w:rsid w:val="00435ECB"/>
    <w:rsid w:val="004477D6"/>
    <w:rsid w:val="00447AFB"/>
    <w:rsid w:val="0045258B"/>
    <w:rsid w:val="00452DD3"/>
    <w:rsid w:val="00457C5C"/>
    <w:rsid w:val="004637EE"/>
    <w:rsid w:val="0046738B"/>
    <w:rsid w:val="004740C2"/>
    <w:rsid w:val="004765F5"/>
    <w:rsid w:val="00480D62"/>
    <w:rsid w:val="004842D5"/>
    <w:rsid w:val="00486B7E"/>
    <w:rsid w:val="004B67C4"/>
    <w:rsid w:val="004C1990"/>
    <w:rsid w:val="004E3658"/>
    <w:rsid w:val="004F256D"/>
    <w:rsid w:val="004F3193"/>
    <w:rsid w:val="004F6733"/>
    <w:rsid w:val="00502F6B"/>
    <w:rsid w:val="00505E65"/>
    <w:rsid w:val="005076C3"/>
    <w:rsid w:val="00514525"/>
    <w:rsid w:val="00515B46"/>
    <w:rsid w:val="005337C7"/>
    <w:rsid w:val="005444EF"/>
    <w:rsid w:val="005566F7"/>
    <w:rsid w:val="005614A3"/>
    <w:rsid w:val="00565548"/>
    <w:rsid w:val="005673F6"/>
    <w:rsid w:val="00586E66"/>
    <w:rsid w:val="005976C6"/>
    <w:rsid w:val="005A2003"/>
    <w:rsid w:val="005B154B"/>
    <w:rsid w:val="005C0555"/>
    <w:rsid w:val="005C4DA2"/>
    <w:rsid w:val="005D2E9B"/>
    <w:rsid w:val="005D6FE6"/>
    <w:rsid w:val="005E36AB"/>
    <w:rsid w:val="005F3923"/>
    <w:rsid w:val="00603436"/>
    <w:rsid w:val="00604950"/>
    <w:rsid w:val="006115B6"/>
    <w:rsid w:val="006264B3"/>
    <w:rsid w:val="00642AF1"/>
    <w:rsid w:val="0064435A"/>
    <w:rsid w:val="006664FD"/>
    <w:rsid w:val="00696ADA"/>
    <w:rsid w:val="006A00C1"/>
    <w:rsid w:val="006B1DD8"/>
    <w:rsid w:val="006C687A"/>
    <w:rsid w:val="006E4858"/>
    <w:rsid w:val="006F37A6"/>
    <w:rsid w:val="00704664"/>
    <w:rsid w:val="00711115"/>
    <w:rsid w:val="0072452B"/>
    <w:rsid w:val="007245CE"/>
    <w:rsid w:val="00732243"/>
    <w:rsid w:val="00736B21"/>
    <w:rsid w:val="0075104D"/>
    <w:rsid w:val="007950B0"/>
    <w:rsid w:val="007A3158"/>
    <w:rsid w:val="007C0C14"/>
    <w:rsid w:val="007D26CF"/>
    <w:rsid w:val="007E051D"/>
    <w:rsid w:val="007F0B25"/>
    <w:rsid w:val="00805BBE"/>
    <w:rsid w:val="00811E3B"/>
    <w:rsid w:val="008315BA"/>
    <w:rsid w:val="008372F4"/>
    <w:rsid w:val="00840A42"/>
    <w:rsid w:val="00842C9A"/>
    <w:rsid w:val="00843774"/>
    <w:rsid w:val="0085437C"/>
    <w:rsid w:val="00855ED6"/>
    <w:rsid w:val="0087243D"/>
    <w:rsid w:val="008873CF"/>
    <w:rsid w:val="0089064B"/>
    <w:rsid w:val="0089633F"/>
    <w:rsid w:val="008A21B2"/>
    <w:rsid w:val="008A5F6E"/>
    <w:rsid w:val="008B231E"/>
    <w:rsid w:val="008D517A"/>
    <w:rsid w:val="008D6AA8"/>
    <w:rsid w:val="008F3F04"/>
    <w:rsid w:val="008F7D8F"/>
    <w:rsid w:val="00921024"/>
    <w:rsid w:val="009247A2"/>
    <w:rsid w:val="00927959"/>
    <w:rsid w:val="0093597B"/>
    <w:rsid w:val="00937382"/>
    <w:rsid w:val="009634BB"/>
    <w:rsid w:val="009644C3"/>
    <w:rsid w:val="00965025"/>
    <w:rsid w:val="00980C41"/>
    <w:rsid w:val="0098135B"/>
    <w:rsid w:val="00990A44"/>
    <w:rsid w:val="00993E14"/>
    <w:rsid w:val="009949FE"/>
    <w:rsid w:val="009959D7"/>
    <w:rsid w:val="009B7CA1"/>
    <w:rsid w:val="009C7E29"/>
    <w:rsid w:val="009D74B3"/>
    <w:rsid w:val="009E2ACA"/>
    <w:rsid w:val="00A00107"/>
    <w:rsid w:val="00A00661"/>
    <w:rsid w:val="00A02E06"/>
    <w:rsid w:val="00A079AD"/>
    <w:rsid w:val="00A366CE"/>
    <w:rsid w:val="00A411B2"/>
    <w:rsid w:val="00A605EF"/>
    <w:rsid w:val="00A609D8"/>
    <w:rsid w:val="00A633E3"/>
    <w:rsid w:val="00A65237"/>
    <w:rsid w:val="00A70D80"/>
    <w:rsid w:val="00A73275"/>
    <w:rsid w:val="00A96DE0"/>
    <w:rsid w:val="00AB157E"/>
    <w:rsid w:val="00AB322E"/>
    <w:rsid w:val="00AB6CF0"/>
    <w:rsid w:val="00AD350E"/>
    <w:rsid w:val="00AE59E9"/>
    <w:rsid w:val="00AE5F07"/>
    <w:rsid w:val="00AE7771"/>
    <w:rsid w:val="00B34178"/>
    <w:rsid w:val="00B527DA"/>
    <w:rsid w:val="00B53F19"/>
    <w:rsid w:val="00B90D92"/>
    <w:rsid w:val="00B97F75"/>
    <w:rsid w:val="00BA139C"/>
    <w:rsid w:val="00BA1E7A"/>
    <w:rsid w:val="00BA2F2A"/>
    <w:rsid w:val="00BD1771"/>
    <w:rsid w:val="00BF1545"/>
    <w:rsid w:val="00BF2676"/>
    <w:rsid w:val="00C121F7"/>
    <w:rsid w:val="00C1393D"/>
    <w:rsid w:val="00C20CA6"/>
    <w:rsid w:val="00C24515"/>
    <w:rsid w:val="00C51A8D"/>
    <w:rsid w:val="00C51EA5"/>
    <w:rsid w:val="00C575EC"/>
    <w:rsid w:val="00C71095"/>
    <w:rsid w:val="00C76B91"/>
    <w:rsid w:val="00C81CBE"/>
    <w:rsid w:val="00C90AF8"/>
    <w:rsid w:val="00CB74BD"/>
    <w:rsid w:val="00CB7A3C"/>
    <w:rsid w:val="00CC099C"/>
    <w:rsid w:val="00CC0BFD"/>
    <w:rsid w:val="00CD55FA"/>
    <w:rsid w:val="00CE074E"/>
    <w:rsid w:val="00D056C4"/>
    <w:rsid w:val="00D239CD"/>
    <w:rsid w:val="00D24154"/>
    <w:rsid w:val="00D36DCF"/>
    <w:rsid w:val="00D41A42"/>
    <w:rsid w:val="00D516A5"/>
    <w:rsid w:val="00D82FC7"/>
    <w:rsid w:val="00D973BF"/>
    <w:rsid w:val="00DA1CD0"/>
    <w:rsid w:val="00DC1CF7"/>
    <w:rsid w:val="00DC4541"/>
    <w:rsid w:val="00DD0061"/>
    <w:rsid w:val="00E01926"/>
    <w:rsid w:val="00E155C4"/>
    <w:rsid w:val="00E167DD"/>
    <w:rsid w:val="00E35D6D"/>
    <w:rsid w:val="00E4160F"/>
    <w:rsid w:val="00E4164F"/>
    <w:rsid w:val="00E43400"/>
    <w:rsid w:val="00E638CA"/>
    <w:rsid w:val="00E8067E"/>
    <w:rsid w:val="00E84953"/>
    <w:rsid w:val="00E85E68"/>
    <w:rsid w:val="00E9756E"/>
    <w:rsid w:val="00EA4D72"/>
    <w:rsid w:val="00EC1B01"/>
    <w:rsid w:val="00EE521D"/>
    <w:rsid w:val="00EF20D9"/>
    <w:rsid w:val="00EF6896"/>
    <w:rsid w:val="00F02614"/>
    <w:rsid w:val="00F036C4"/>
    <w:rsid w:val="00F14A6B"/>
    <w:rsid w:val="00F167B4"/>
    <w:rsid w:val="00F208A5"/>
    <w:rsid w:val="00F228E2"/>
    <w:rsid w:val="00F32262"/>
    <w:rsid w:val="00F34CA1"/>
    <w:rsid w:val="00F45090"/>
    <w:rsid w:val="00F5317D"/>
    <w:rsid w:val="00F74DA2"/>
    <w:rsid w:val="00F953F4"/>
    <w:rsid w:val="00FB687B"/>
    <w:rsid w:val="00FC3835"/>
    <w:rsid w:val="00FC5CF6"/>
    <w:rsid w:val="00FE0869"/>
    <w:rsid w:val="00FE3812"/>
    <w:rsid w:val="00FE64E0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E40C1"/>
  <w15:docId w15:val="{6B088016-0A9A-49FA-BFD0-5CA3297F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41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C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C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D92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7D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7D8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A2A7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2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2A7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B6C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os@utp.edu.co" TargetMode="External"/><Relationship Id="rId5" Type="http://schemas.openxmlformats.org/officeDocument/2006/relationships/hyperlink" Target="mailto:lazos@utp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Yesica Marcela  Rojas Orozco</cp:lastModifiedBy>
  <cp:revision>19</cp:revision>
  <cp:lastPrinted>2015-06-10T20:50:00Z</cp:lastPrinted>
  <dcterms:created xsi:type="dcterms:W3CDTF">2021-02-05T15:08:00Z</dcterms:created>
  <dcterms:modified xsi:type="dcterms:W3CDTF">2021-02-22T00:46:00Z</dcterms:modified>
</cp:coreProperties>
</file>