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743" w:type="dxa"/>
        <w:tblInd w:w="-714" w:type="dxa"/>
        <w:tblLook w:val="04A0" w:firstRow="1" w:lastRow="0" w:firstColumn="1" w:lastColumn="0" w:noHBand="0" w:noVBand="1"/>
      </w:tblPr>
      <w:tblGrid>
        <w:gridCol w:w="4778"/>
        <w:gridCol w:w="4575"/>
        <w:gridCol w:w="5390"/>
      </w:tblGrid>
      <w:tr w:rsidR="00E7370C" w:rsidRPr="00BA40C3" w:rsidTr="005F2257">
        <w:tc>
          <w:tcPr>
            <w:tcW w:w="14743" w:type="dxa"/>
            <w:gridSpan w:val="3"/>
          </w:tcPr>
          <w:p w:rsidR="00E7370C" w:rsidRPr="00BA40C3" w:rsidRDefault="00E7370C" w:rsidP="00E7370C">
            <w:pPr>
              <w:ind w:left="317" w:hanging="317"/>
              <w:jc w:val="center"/>
            </w:pPr>
            <w:r w:rsidRPr="00BA40C3">
              <w:t>TABLA DE COHERENCIA</w:t>
            </w:r>
          </w:p>
        </w:tc>
      </w:tr>
      <w:tr w:rsidR="00E7370C" w:rsidRPr="00BA40C3" w:rsidTr="00E7370C">
        <w:trPr>
          <w:trHeight w:val="408"/>
        </w:trPr>
        <w:tc>
          <w:tcPr>
            <w:tcW w:w="4778" w:type="dxa"/>
          </w:tcPr>
          <w:p w:rsidR="00E7370C" w:rsidRPr="00BA40C3" w:rsidRDefault="00E7370C" w:rsidP="00E7370C">
            <w:pPr>
              <w:ind w:left="317" w:hanging="317"/>
              <w:jc w:val="center"/>
            </w:pPr>
            <w:r w:rsidRPr="00BA40C3">
              <w:t>Objetivos del programa</w:t>
            </w:r>
          </w:p>
        </w:tc>
        <w:tc>
          <w:tcPr>
            <w:tcW w:w="4575" w:type="dxa"/>
          </w:tcPr>
          <w:p w:rsidR="00E7370C" w:rsidRPr="00BA40C3" w:rsidRDefault="00E7370C" w:rsidP="00E7370C">
            <w:pPr>
              <w:ind w:left="317" w:hanging="317"/>
              <w:jc w:val="center"/>
            </w:pPr>
            <w:r w:rsidRPr="00BA40C3">
              <w:t>Visión y Misión de la Institución</w:t>
            </w:r>
          </w:p>
        </w:tc>
        <w:tc>
          <w:tcPr>
            <w:tcW w:w="5390" w:type="dxa"/>
          </w:tcPr>
          <w:p w:rsidR="00E7370C" w:rsidRPr="00BA40C3" w:rsidRDefault="00E7370C" w:rsidP="00E7370C">
            <w:pPr>
              <w:ind w:left="317" w:hanging="317"/>
              <w:jc w:val="center"/>
            </w:pPr>
            <w:r>
              <w:t xml:space="preserve">Proyecto Institucional </w:t>
            </w:r>
          </w:p>
        </w:tc>
      </w:tr>
      <w:tr w:rsidR="00E7370C" w:rsidRPr="00BA40C3" w:rsidTr="00E7370C">
        <w:tc>
          <w:tcPr>
            <w:tcW w:w="4778" w:type="dxa"/>
          </w:tcPr>
          <w:p w:rsidR="00E7370C" w:rsidRPr="007909EB" w:rsidRDefault="00E7370C" w:rsidP="00E7370C">
            <w:pPr>
              <w:pStyle w:val="Prrafodelista"/>
              <w:numPr>
                <w:ilvl w:val="0"/>
                <w:numId w:val="4"/>
              </w:numPr>
              <w:shd w:val="clear" w:color="auto" w:fill="FFFFFF"/>
              <w:spacing w:before="100" w:beforeAutospacing="1" w:after="100" w:afterAutospacing="1" w:line="300" w:lineRule="atLeast"/>
              <w:jc w:val="both"/>
              <w:rPr>
                <w:sz w:val="18"/>
                <w:szCs w:val="18"/>
              </w:rPr>
            </w:pPr>
            <w:r w:rsidRPr="007909EB">
              <w:rPr>
                <w:sz w:val="18"/>
                <w:szCs w:val="18"/>
              </w:rPr>
              <w:t>Estudiar temáticas específicas de la matemática que sirven de sustento para muchos contenidos que se desarrollan tanto en secundaria como en los primeros niveles de universidad y que permitirán al docente moverse con soltura cuando en su momento se vea enfrentado con la enseñanza de alguno de ellos. </w:t>
            </w:r>
          </w:p>
          <w:p w:rsidR="00E7370C" w:rsidRPr="007909EB" w:rsidRDefault="00E7370C" w:rsidP="00E7370C">
            <w:pPr>
              <w:pStyle w:val="Prrafodelista"/>
              <w:shd w:val="clear" w:color="auto" w:fill="FFFFFF"/>
              <w:spacing w:before="100" w:beforeAutospacing="1" w:after="100" w:afterAutospacing="1" w:line="300" w:lineRule="atLeast"/>
              <w:ind w:left="360"/>
              <w:jc w:val="both"/>
              <w:rPr>
                <w:sz w:val="18"/>
                <w:szCs w:val="18"/>
              </w:rPr>
            </w:pPr>
          </w:p>
          <w:p w:rsidR="00E7370C" w:rsidRPr="007909EB" w:rsidRDefault="00E7370C" w:rsidP="00E7370C">
            <w:pPr>
              <w:pStyle w:val="Prrafodelista"/>
              <w:numPr>
                <w:ilvl w:val="0"/>
                <w:numId w:val="4"/>
              </w:numPr>
              <w:shd w:val="clear" w:color="auto" w:fill="FFFFFF"/>
              <w:spacing w:after="150" w:line="300" w:lineRule="atLeast"/>
              <w:jc w:val="both"/>
              <w:rPr>
                <w:sz w:val="18"/>
                <w:szCs w:val="18"/>
              </w:rPr>
            </w:pPr>
            <w:r w:rsidRPr="007909EB">
              <w:rPr>
                <w:sz w:val="18"/>
                <w:szCs w:val="18"/>
              </w:rPr>
              <w:t>Reflexionar sobre las diferentes metodologías y prácticas pedagógicas en la enseñanza de la matemática, existentes tanto en la literatura como en la experiencia de los propios estudiantes de la maestría, buscando desmitificar muchos aspectos que han permanecido asociados, por mucho tiempo, al ejercicio de dicha praxis.</w:t>
            </w:r>
          </w:p>
          <w:p w:rsidR="00E7370C" w:rsidRPr="007909EB" w:rsidRDefault="00E7370C" w:rsidP="00E7370C">
            <w:pPr>
              <w:pStyle w:val="Prrafodelista"/>
              <w:rPr>
                <w:sz w:val="18"/>
                <w:szCs w:val="18"/>
              </w:rPr>
            </w:pPr>
          </w:p>
          <w:p w:rsidR="00E7370C" w:rsidRPr="007909EB" w:rsidRDefault="00E7370C" w:rsidP="00E7370C">
            <w:pPr>
              <w:pStyle w:val="Prrafodelista"/>
              <w:shd w:val="clear" w:color="auto" w:fill="FFFFFF"/>
              <w:spacing w:after="150" w:line="300" w:lineRule="atLeast"/>
              <w:ind w:left="360"/>
              <w:jc w:val="both"/>
              <w:rPr>
                <w:sz w:val="18"/>
                <w:szCs w:val="18"/>
              </w:rPr>
            </w:pPr>
          </w:p>
          <w:p w:rsidR="00E7370C" w:rsidRPr="007909EB" w:rsidRDefault="00E7370C" w:rsidP="00E7370C">
            <w:pPr>
              <w:pStyle w:val="Prrafodelista"/>
              <w:numPr>
                <w:ilvl w:val="0"/>
                <w:numId w:val="4"/>
              </w:numPr>
              <w:shd w:val="clear" w:color="auto" w:fill="FFFFFF"/>
              <w:spacing w:after="150" w:line="300" w:lineRule="atLeast"/>
              <w:jc w:val="both"/>
              <w:rPr>
                <w:sz w:val="18"/>
                <w:szCs w:val="18"/>
              </w:rPr>
            </w:pPr>
            <w:r w:rsidRPr="007909EB">
              <w:rPr>
                <w:sz w:val="18"/>
                <w:szCs w:val="18"/>
              </w:rPr>
              <w:t>Promover en el estudiante la oportunidad de formarse como investigador bien sea en un área propia de la matemática, en Educación matemática, o a nivel individual a través del desarrollo de un trabajo de investigación al lado de un docente investigador en la respectiva área, o de manera colectiva con la conformación de grupos de investigación dentro de la comunidad académica de los docentes profesionales de la enseñanza de la matemática que proponga y desarrollen trabajos de investigación producto de la reflexión sobre problemáticas que constantemente surgen en el ámbito tanto de la Matemática misma como de la enseñanza de la Matemática. </w:t>
            </w:r>
          </w:p>
          <w:p w:rsidR="00E7370C" w:rsidRPr="007909EB" w:rsidRDefault="00E7370C" w:rsidP="00E7370C">
            <w:pPr>
              <w:ind w:left="317" w:hanging="317"/>
              <w:jc w:val="center"/>
              <w:rPr>
                <w:sz w:val="18"/>
                <w:szCs w:val="18"/>
              </w:rPr>
            </w:pPr>
          </w:p>
        </w:tc>
        <w:tc>
          <w:tcPr>
            <w:tcW w:w="4575" w:type="dxa"/>
          </w:tcPr>
          <w:p w:rsidR="00E7370C" w:rsidRPr="007909EB" w:rsidRDefault="00E7370C" w:rsidP="007909EB">
            <w:pPr>
              <w:ind w:left="317" w:hanging="317"/>
              <w:jc w:val="center"/>
              <w:rPr>
                <w:sz w:val="18"/>
                <w:szCs w:val="18"/>
              </w:rPr>
            </w:pPr>
            <w:r w:rsidRPr="007909EB">
              <w:rPr>
                <w:sz w:val="18"/>
                <w:szCs w:val="18"/>
              </w:rPr>
              <w:t>Misión Institucional</w:t>
            </w:r>
            <w:r w:rsidRPr="007909EB">
              <w:rPr>
                <w:sz w:val="18"/>
                <w:szCs w:val="18"/>
              </w:rPr>
              <w:br/>
            </w:r>
            <w:r w:rsidRPr="007909EB">
              <w:rPr>
                <w:sz w:val="18"/>
                <w:szCs w:val="18"/>
              </w:rPr>
              <w:br/>
              <w:t>* Es una Universidad estatal</w:t>
            </w:r>
            <w:r w:rsidRPr="007909EB">
              <w:rPr>
                <w:sz w:val="18"/>
                <w:szCs w:val="18"/>
              </w:rPr>
              <w:br/>
              <w:t xml:space="preserve">Vinculada a la sociedad y economía del conocimiento en todos sus campos, creando y participando en redes y otras formas de interacción. </w:t>
            </w:r>
            <w:r w:rsidRPr="007909EB">
              <w:rPr>
                <w:sz w:val="18"/>
                <w:szCs w:val="18"/>
              </w:rPr>
              <w:br/>
            </w:r>
            <w:r w:rsidRPr="007909EB">
              <w:rPr>
                <w:sz w:val="18"/>
                <w:szCs w:val="18"/>
              </w:rPr>
              <w:br/>
              <w:t>* Es un polo de desarrollo</w:t>
            </w:r>
            <w:r w:rsidRPr="007909EB">
              <w:rPr>
                <w:sz w:val="18"/>
                <w:szCs w:val="18"/>
              </w:rPr>
              <w:br/>
              <w:t>Que crea, transforma, transfiere, contextualiza, aplica, gestiona, innova e intercambia el conocimiento en todas sus formas y expresiones, teniendo como prioridad el desarrollo sustentable en la ecorregión eje cafetero</w:t>
            </w:r>
            <w:r w:rsidRPr="007909EB">
              <w:rPr>
                <w:sz w:val="18"/>
                <w:szCs w:val="18"/>
              </w:rPr>
              <w:br/>
            </w:r>
            <w:r w:rsidRPr="007909EB">
              <w:rPr>
                <w:sz w:val="18"/>
                <w:szCs w:val="18"/>
              </w:rPr>
              <w:br/>
              <w:t>* Es una Comunidad</w:t>
            </w:r>
            <w:r w:rsidRPr="007909EB">
              <w:rPr>
                <w:sz w:val="18"/>
                <w:szCs w:val="18"/>
              </w:rPr>
              <w:br/>
              <w:t>De enseñanza, aprendizaje y práctica, que interactúa buscando el bien común, en un ambiente de participación, diálogo, con responsabilidad social y desarrollo humano, caracterizada por el pluralismo y el respeto a la diferencia, inmersa en procesos permanentes de planeación, evaluación y control.</w:t>
            </w:r>
            <w:r w:rsidRPr="007909EB">
              <w:rPr>
                <w:sz w:val="18"/>
                <w:szCs w:val="18"/>
              </w:rPr>
              <w:br/>
            </w:r>
            <w:r w:rsidRPr="007909EB">
              <w:rPr>
                <w:sz w:val="18"/>
                <w:szCs w:val="18"/>
              </w:rPr>
              <w:br/>
              <w:t>* Es una organización</w:t>
            </w:r>
            <w:r w:rsidRPr="007909EB">
              <w:rPr>
                <w:sz w:val="18"/>
                <w:szCs w:val="18"/>
              </w:rPr>
              <w:br/>
              <w:t>Que aprende y desarrolla procesos en todos los campos del saber, contribuyendo al mejoramiento de la sociedad, para formar ciudadanos competentes, con ética y sentido crítico, líderes en la transformación social y económica.</w:t>
            </w:r>
            <w:r w:rsidRPr="007909EB">
              <w:rPr>
                <w:sz w:val="18"/>
                <w:szCs w:val="18"/>
              </w:rPr>
              <w:br/>
            </w:r>
            <w:r w:rsidRPr="007909EB">
              <w:rPr>
                <w:sz w:val="18"/>
                <w:szCs w:val="18"/>
              </w:rPr>
              <w:br/>
              <w:t>Las funciones misionales le permiten ofrecer servicios derivados de su actividad académica a los sectores público o privado en todos sus órdenes, mediante convenios o contratos para servicios técnicos, científicos, artísticos, de consultoría o de cualquier tipo afín a sus objetivos misionales.</w:t>
            </w:r>
            <w:r w:rsidRPr="007909EB">
              <w:rPr>
                <w:sz w:val="18"/>
                <w:szCs w:val="18"/>
              </w:rPr>
              <w:br/>
            </w:r>
            <w:r w:rsidRPr="007909EB">
              <w:rPr>
                <w:sz w:val="18"/>
                <w:szCs w:val="18"/>
              </w:rPr>
              <w:br/>
            </w:r>
            <w:r w:rsidRPr="007909EB">
              <w:rPr>
                <w:b/>
                <w:sz w:val="18"/>
                <w:szCs w:val="18"/>
              </w:rPr>
              <w:t>Visión Institucional</w:t>
            </w:r>
            <w:r w:rsidRPr="007909EB">
              <w:rPr>
                <w:b/>
                <w:sz w:val="18"/>
                <w:szCs w:val="18"/>
              </w:rPr>
              <w:br/>
            </w:r>
            <w:r w:rsidRPr="007909EB">
              <w:rPr>
                <w:sz w:val="18"/>
                <w:szCs w:val="18"/>
              </w:rPr>
              <w:t xml:space="preserve">Universidad de alta calidad, líder al 2019 en la región y en el país, por su competitividad integral en la docencia, investigación, innovación, extensión y gestión para el desarrollo humano con responsabilidad e impacto social, </w:t>
            </w:r>
            <w:proofErr w:type="gramStart"/>
            <w:r w:rsidRPr="007909EB">
              <w:rPr>
                <w:sz w:val="18"/>
                <w:szCs w:val="18"/>
              </w:rPr>
              <w:t>inmersa</w:t>
            </w:r>
            <w:proofErr w:type="gramEnd"/>
            <w:r w:rsidRPr="007909EB">
              <w:rPr>
                <w:sz w:val="18"/>
                <w:szCs w:val="18"/>
              </w:rPr>
              <w:t xml:space="preserve"> en la comunidad internacional.</w:t>
            </w:r>
          </w:p>
        </w:tc>
        <w:tc>
          <w:tcPr>
            <w:tcW w:w="5390" w:type="dxa"/>
          </w:tcPr>
          <w:p w:rsidR="00E7370C" w:rsidRPr="007909EB" w:rsidRDefault="00E7370C" w:rsidP="00E7370C">
            <w:pPr>
              <w:autoSpaceDE w:val="0"/>
              <w:autoSpaceDN w:val="0"/>
              <w:adjustRightInd w:val="0"/>
              <w:rPr>
                <w:sz w:val="18"/>
                <w:szCs w:val="18"/>
              </w:rPr>
            </w:pPr>
            <w:r w:rsidRPr="007909EB">
              <w:rPr>
                <w:sz w:val="18"/>
                <w:szCs w:val="18"/>
              </w:rPr>
              <w:t>E</w:t>
            </w:r>
            <w:r w:rsidRPr="007909EB">
              <w:rPr>
                <w:sz w:val="18"/>
                <w:szCs w:val="18"/>
              </w:rPr>
              <w:t xml:space="preserve">jes de construcción de la dogmática universitaria, así: </w:t>
            </w:r>
          </w:p>
          <w:p w:rsidR="00E7370C" w:rsidRPr="007909EB" w:rsidRDefault="00E7370C" w:rsidP="00E7370C">
            <w:pPr>
              <w:autoSpaceDE w:val="0"/>
              <w:autoSpaceDN w:val="0"/>
              <w:adjustRightInd w:val="0"/>
              <w:rPr>
                <w:sz w:val="18"/>
                <w:szCs w:val="18"/>
              </w:rPr>
            </w:pPr>
          </w:p>
          <w:p w:rsidR="00E7370C" w:rsidRPr="007909EB" w:rsidRDefault="00E7370C" w:rsidP="00E7370C">
            <w:pPr>
              <w:autoSpaceDE w:val="0"/>
              <w:autoSpaceDN w:val="0"/>
              <w:adjustRightInd w:val="0"/>
              <w:jc w:val="both"/>
              <w:rPr>
                <w:sz w:val="18"/>
                <w:szCs w:val="18"/>
              </w:rPr>
            </w:pPr>
            <w:r w:rsidRPr="007909EB">
              <w:rPr>
                <w:sz w:val="18"/>
                <w:szCs w:val="18"/>
              </w:rPr>
              <w:t xml:space="preserve">DOCENCIA: La universidad asume la formación integral del ser humano en todas sus dimensiones y específicamente aplica su empeño en el “aprender” como verbo rector del proceso pedagógico. Aprender a aprender, dado lo vertiginoso del avance de la ciencia; aprender a hacer, para el logro de los talentos esperados de las profesiones y disciplinas; aprender a ser, para elevar la capacidad de autoconocimiento y encumbrar la reflexión ética del ser humano sobre sí mismo y finalmente, aprender a convivir, en cuanto somos seres sociales comprometidos con el otro, en la complementariedad solidaria y diversa de las sociedades plurales. </w:t>
            </w:r>
          </w:p>
          <w:p w:rsidR="00E7370C" w:rsidRPr="007909EB" w:rsidRDefault="00E7370C" w:rsidP="00E7370C">
            <w:pPr>
              <w:autoSpaceDE w:val="0"/>
              <w:autoSpaceDN w:val="0"/>
              <w:adjustRightInd w:val="0"/>
              <w:rPr>
                <w:sz w:val="18"/>
                <w:szCs w:val="18"/>
              </w:rPr>
            </w:pPr>
          </w:p>
          <w:p w:rsidR="00E7370C" w:rsidRPr="007909EB" w:rsidRDefault="00E7370C" w:rsidP="00E7370C">
            <w:pPr>
              <w:autoSpaceDE w:val="0"/>
              <w:autoSpaceDN w:val="0"/>
              <w:adjustRightInd w:val="0"/>
              <w:jc w:val="both"/>
              <w:rPr>
                <w:sz w:val="18"/>
                <w:szCs w:val="18"/>
              </w:rPr>
            </w:pPr>
            <w:r w:rsidRPr="007909EB">
              <w:rPr>
                <w:sz w:val="18"/>
                <w:szCs w:val="18"/>
              </w:rPr>
              <w:t xml:space="preserve">INVESTIGACIÓN: Buscamos, creamos, transformamos y transferimos el conocimiento, socialmente relevante, en todos los campos del saber. Es el ámbito de lo científico, humanístico, ético y cultural. </w:t>
            </w:r>
          </w:p>
          <w:p w:rsidR="00E7370C" w:rsidRPr="007909EB" w:rsidRDefault="00E7370C" w:rsidP="00E7370C">
            <w:pPr>
              <w:autoSpaceDE w:val="0"/>
              <w:autoSpaceDN w:val="0"/>
              <w:adjustRightInd w:val="0"/>
              <w:rPr>
                <w:sz w:val="18"/>
                <w:szCs w:val="18"/>
              </w:rPr>
            </w:pPr>
          </w:p>
          <w:p w:rsidR="00E7370C" w:rsidRPr="007909EB" w:rsidRDefault="00E7370C" w:rsidP="00E7370C">
            <w:pPr>
              <w:autoSpaceDE w:val="0"/>
              <w:autoSpaceDN w:val="0"/>
              <w:adjustRightInd w:val="0"/>
              <w:jc w:val="both"/>
              <w:rPr>
                <w:sz w:val="18"/>
                <w:szCs w:val="18"/>
              </w:rPr>
            </w:pPr>
            <w:r w:rsidRPr="007909EB">
              <w:rPr>
                <w:sz w:val="18"/>
                <w:szCs w:val="18"/>
              </w:rPr>
              <w:t xml:space="preserve">EXTENSIÓN: Asumimos el compromiso con la sociedad en la que estamos insertos, procurando su transformación y desarrollo, involucrados en el desenvolvimiento de sus problemáticas, urgencias y necesidades, que le garanticen a la universidad su legitimidad social. </w:t>
            </w:r>
          </w:p>
          <w:p w:rsidR="00E7370C" w:rsidRPr="007909EB" w:rsidRDefault="00E7370C" w:rsidP="00E7370C">
            <w:pPr>
              <w:autoSpaceDE w:val="0"/>
              <w:autoSpaceDN w:val="0"/>
              <w:adjustRightInd w:val="0"/>
              <w:rPr>
                <w:sz w:val="18"/>
                <w:szCs w:val="18"/>
              </w:rPr>
            </w:pPr>
          </w:p>
          <w:p w:rsidR="00E7370C" w:rsidRPr="00D80E83" w:rsidRDefault="00E7370C" w:rsidP="00E7370C">
            <w:pPr>
              <w:autoSpaceDE w:val="0"/>
              <w:autoSpaceDN w:val="0"/>
              <w:adjustRightInd w:val="0"/>
              <w:jc w:val="both"/>
              <w:rPr>
                <w:rFonts w:ascii="Calibri" w:hAnsi="Calibri" w:cs="Calibri"/>
                <w:color w:val="000000"/>
                <w:sz w:val="18"/>
                <w:szCs w:val="18"/>
              </w:rPr>
            </w:pPr>
            <w:r w:rsidRPr="007909EB">
              <w:rPr>
                <w:sz w:val="18"/>
                <w:szCs w:val="18"/>
              </w:rPr>
              <w:t>BIENESTAR UNIVERSITARIO: Promovemos el bienestar de todos quienes hacemos parte de la comunidad universitaria, en el enfoque integral de ser, crecer y mejor estar en lo material, físico y espiritual, en claro fomento a los principios y valores corporativos de la solidaridad, el p</w:t>
            </w:r>
            <w:bookmarkStart w:id="0" w:name="_GoBack"/>
            <w:bookmarkEnd w:id="0"/>
            <w:r w:rsidRPr="007909EB">
              <w:rPr>
                <w:sz w:val="18"/>
                <w:szCs w:val="18"/>
              </w:rPr>
              <w:t>luralismo y la diversidad.</w:t>
            </w:r>
          </w:p>
        </w:tc>
      </w:tr>
    </w:tbl>
    <w:p w:rsidR="0099708E" w:rsidRPr="00BA40C3" w:rsidRDefault="0099708E"/>
    <w:sectPr w:rsidR="0099708E" w:rsidRPr="00BA40C3" w:rsidSect="00E7370C">
      <w:pgSz w:w="15840" w:h="12240"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9E9"/>
    <w:multiLevelType w:val="multilevel"/>
    <w:tmpl w:val="035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959BA"/>
    <w:multiLevelType w:val="multilevel"/>
    <w:tmpl w:val="EC9A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03509"/>
    <w:multiLevelType w:val="multilevel"/>
    <w:tmpl w:val="C096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116E1"/>
    <w:multiLevelType w:val="hybridMultilevel"/>
    <w:tmpl w:val="12A49B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14"/>
    <w:rsid w:val="00133014"/>
    <w:rsid w:val="004B1055"/>
    <w:rsid w:val="006C5B6A"/>
    <w:rsid w:val="007909EB"/>
    <w:rsid w:val="0099708E"/>
    <w:rsid w:val="00B26770"/>
    <w:rsid w:val="00BA40C3"/>
    <w:rsid w:val="00E737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2110-D289-4DCD-BF5B-5322B1D8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A40C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A40C3"/>
    <w:rPr>
      <w:i/>
      <w:iCs/>
    </w:rPr>
  </w:style>
  <w:style w:type="paragraph" w:styleId="Prrafodelista">
    <w:name w:val="List Paragraph"/>
    <w:basedOn w:val="Normal"/>
    <w:uiPriority w:val="34"/>
    <w:qFormat/>
    <w:rsid w:val="00E73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Usuario UTP</cp:lastModifiedBy>
  <cp:revision>2</cp:revision>
  <dcterms:created xsi:type="dcterms:W3CDTF">2016-04-09T20:50:00Z</dcterms:created>
  <dcterms:modified xsi:type="dcterms:W3CDTF">2016-04-09T20:50:00Z</dcterms:modified>
</cp:coreProperties>
</file>